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ЗАТО г. Радужный 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871001" w:rsidRDefault="00314558" w:rsidP="00871001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14.10.2021 № 1277</w:t>
      </w:r>
      <w:bookmarkStart w:id="0" w:name="_GoBack"/>
      <w:bookmarkEnd w:id="0"/>
    </w:p>
    <w:p w:rsidR="00871001" w:rsidRDefault="00871001" w:rsidP="00871001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1001" w:rsidRPr="00E66CBB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66CBB">
        <w:rPr>
          <w:rFonts w:ascii="Times New Roman" w:hAnsi="Times New Roman" w:cs="Times New Roman"/>
          <w:sz w:val="28"/>
          <w:szCs w:val="28"/>
        </w:rPr>
        <w:t xml:space="preserve">(в </w:t>
      </w:r>
      <w:r>
        <w:rPr>
          <w:rFonts w:ascii="Times New Roman" w:hAnsi="Times New Roman" w:cs="Times New Roman"/>
          <w:sz w:val="28"/>
          <w:szCs w:val="28"/>
        </w:rPr>
        <w:t>ред.</w:t>
      </w:r>
      <w:r w:rsidRPr="00E66CBB">
        <w:rPr>
          <w:rFonts w:ascii="Times New Roman" w:hAnsi="Times New Roman" w:cs="Times New Roman"/>
          <w:sz w:val="28"/>
          <w:szCs w:val="28"/>
        </w:rPr>
        <w:t xml:space="preserve"> от 16.03.2017 № 351,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ред.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26.10.2017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1659,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ред. от 29.12.2017   № 2173,</w:t>
      </w:r>
    </w:p>
    <w:p w:rsidR="00871001" w:rsidRPr="00E66CBB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ред. </w:t>
      </w:r>
      <w:r w:rsidRPr="00E66CBB">
        <w:rPr>
          <w:rFonts w:ascii="Times New Roman" w:hAnsi="Times New Roman" w:cs="Times New Roman"/>
          <w:sz w:val="28"/>
          <w:szCs w:val="28"/>
        </w:rPr>
        <w:t>от 12.03.2018 № 349,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E66CBB">
        <w:rPr>
          <w:rFonts w:ascii="Times New Roman" w:hAnsi="Times New Roman" w:cs="Times New Roman"/>
          <w:sz w:val="28"/>
          <w:szCs w:val="28"/>
        </w:rPr>
        <w:t>ред. от 24.10.2018 № 1546</w:t>
      </w:r>
    </w:p>
    <w:p w:rsidR="00871001" w:rsidRPr="007B3846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ред. от </w:t>
      </w:r>
      <w:r w:rsidRPr="007B3846">
        <w:rPr>
          <w:rFonts w:ascii="Times New Roman" w:hAnsi="Times New Roman" w:cs="Times New Roman"/>
          <w:sz w:val="28"/>
          <w:szCs w:val="28"/>
        </w:rPr>
        <w:t xml:space="preserve">23.11.2018 № 1711, </w:t>
      </w:r>
    </w:p>
    <w:p w:rsidR="00871001" w:rsidRPr="007B3846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B3846">
        <w:rPr>
          <w:rFonts w:ascii="Times New Roman" w:hAnsi="Times New Roman" w:cs="Times New Roman"/>
          <w:sz w:val="28"/>
          <w:szCs w:val="28"/>
        </w:rPr>
        <w:t xml:space="preserve">ред. от 28.12.2018 № 1967, 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B3846">
        <w:rPr>
          <w:rFonts w:ascii="Times New Roman" w:hAnsi="Times New Roman" w:cs="Times New Roman"/>
          <w:sz w:val="28"/>
          <w:szCs w:val="28"/>
        </w:rPr>
        <w:t>ред. от 30.05.2019 № 717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001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567BB4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17.10.2019 г.</w:t>
      </w:r>
      <w:r w:rsidRPr="00567BB4">
        <w:rPr>
          <w:rFonts w:ascii="Times New Roman" w:eastAsia="Calibri" w:hAnsi="Times New Roman"/>
          <w:sz w:val="28"/>
          <w:szCs w:val="28"/>
          <w:lang w:eastAsia="en-US"/>
        </w:rPr>
        <w:t xml:space="preserve">  №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1418; </w:t>
      </w:r>
    </w:p>
    <w:p w:rsidR="00871001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25.12.2019 № 1833; </w:t>
      </w:r>
    </w:p>
    <w:p w:rsidR="00871001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14.02.2020 № 204; </w:t>
      </w:r>
    </w:p>
    <w:p w:rsidR="00871001" w:rsidRPr="00567BB4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25.05.2020 № 628</w:t>
      </w:r>
    </w:p>
    <w:p w:rsidR="00481228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3026" w:rsidRPr="00871001">
        <w:rPr>
          <w:rFonts w:ascii="Times New Roman" w:hAnsi="Times New Roman" w:cs="Times New Roman"/>
          <w:sz w:val="28"/>
          <w:szCs w:val="28"/>
        </w:rPr>
        <w:t>16.10</w:t>
      </w:r>
      <w:r w:rsidR="00013026">
        <w:rPr>
          <w:rFonts w:ascii="Times New Roman" w:hAnsi="Times New Roman" w:cs="Times New Roman"/>
          <w:sz w:val="28"/>
          <w:szCs w:val="28"/>
        </w:rPr>
        <w:t>.</w:t>
      </w:r>
      <w:r w:rsidR="00013026" w:rsidRPr="00871001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13026" w:rsidRPr="00871001">
        <w:rPr>
          <w:rFonts w:ascii="Times New Roman" w:hAnsi="Times New Roman" w:cs="Times New Roman"/>
          <w:sz w:val="28"/>
          <w:szCs w:val="28"/>
        </w:rPr>
        <w:t>1374</w:t>
      </w:r>
      <w:r w:rsidR="0048122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2E79" w:rsidRDefault="00481228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26.12.2020 № 1771</w:t>
      </w:r>
      <w:r w:rsidR="007F2E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6630" w:rsidRPr="00871001" w:rsidRDefault="007F2E79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28.06.2021 № 768</w:t>
      </w:r>
      <w:r w:rsidR="00871001">
        <w:rPr>
          <w:rFonts w:ascii="Times New Roman" w:hAnsi="Times New Roman" w:cs="Times New Roman"/>
          <w:sz w:val="28"/>
          <w:szCs w:val="28"/>
        </w:rPr>
        <w:t>)</w:t>
      </w:r>
    </w:p>
    <w:p w:rsidR="005E3AD3" w:rsidRPr="00567BB4" w:rsidRDefault="005E3AD3" w:rsidP="005E3AD3">
      <w:pPr>
        <w:pStyle w:val="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B3846" w:rsidRDefault="007B3846" w:rsidP="007B384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7B384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«Охрана окружающей среды</w:t>
      </w:r>
      <w:r w:rsidR="005A2B59">
        <w:rPr>
          <w:rFonts w:ascii="Times New Roman" w:hAnsi="Times New Roman" w:cs="Times New Roman"/>
          <w:b/>
          <w:bCs/>
          <w:sz w:val="40"/>
          <w:szCs w:val="40"/>
        </w:rPr>
        <w:t xml:space="preserve"> на территории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</w:t>
      </w:r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065E62" w:rsidRDefault="00065E62" w:rsidP="007B3846">
      <w:pPr>
        <w:tabs>
          <w:tab w:val="left" w:pos="9355"/>
        </w:tabs>
        <w:ind w:right="-1"/>
        <w:rPr>
          <w:rFonts w:ascii="Times New Roman" w:hAnsi="Times New Roman" w:cs="Times New Roman"/>
          <w:sz w:val="40"/>
          <w:szCs w:val="40"/>
        </w:rPr>
      </w:pPr>
    </w:p>
    <w:p w:rsidR="007B3846" w:rsidRDefault="00A85FEC" w:rsidP="007B3846">
      <w:pPr>
        <w:tabs>
          <w:tab w:val="left" w:pos="9355"/>
        </w:tabs>
        <w:ind w:right="-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>ЗАТО г. Радужный</w:t>
      </w:r>
    </w:p>
    <w:p w:rsidR="00871001" w:rsidRDefault="00871001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46C" w:rsidRDefault="006C0AC7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E95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5978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муниципальной</w:t>
            </w:r>
            <w:proofErr w:type="gramEnd"/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C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«Жилищно-коммунальное </w:t>
            </w:r>
            <w:proofErr w:type="gramStart"/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  <w:proofErr w:type="gramEnd"/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Радужный» (далее – МУП «ЖКХ)</w:t>
            </w:r>
          </w:p>
          <w:p w:rsidR="006C0AC7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  <w:p w:rsidR="00213EC8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леса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«Отходы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213EC8" w:rsidRPr="000C7735" w:rsidRDefault="00160B02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3C0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окружающей среды и сохранение природных богатств, предотвращение</w:t>
            </w:r>
            <w:r w:rsidRPr="00A059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вредных последствий хозяйственной деятельности в интересах сохранения здоровья и развития общества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282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общей и экологической культуры и нравственности, совершенствование системы экологического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повышение роли населения и общественных организаций в оздоровлении экологической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3924BB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>7-2024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A03D0" w:rsidRDefault="00CA03D0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5D12D8" w:rsidRDefault="005D12D8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этап – 2021 год</w:t>
            </w:r>
          </w:p>
          <w:p w:rsidR="00FE7385" w:rsidRDefault="00FE7385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этап – 2022 год</w:t>
            </w:r>
          </w:p>
          <w:p w:rsidR="00A75C76" w:rsidRDefault="00A75C76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этап – 2023 год</w:t>
            </w:r>
          </w:p>
          <w:p w:rsidR="00C27B09" w:rsidRPr="000C7735" w:rsidRDefault="00C27B09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этап – 2024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47 200,13573</w:t>
            </w:r>
            <w:r w:rsidR="002C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2C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773,75170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4421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B2BA5">
              <w:rPr>
                <w:rFonts w:ascii="Times New Roman" w:hAnsi="Times New Roman" w:cs="Times New Roman"/>
                <w:sz w:val="28"/>
                <w:szCs w:val="28"/>
              </w:rPr>
              <w:t> 040,90320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A03D0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110FA9">
              <w:rPr>
                <w:rFonts w:ascii="Times New Roman" w:hAnsi="Times New Roman" w:cs="Times New Roman"/>
                <w:sz w:val="28"/>
                <w:szCs w:val="28"/>
              </w:rPr>
              <w:t xml:space="preserve"> 9 38</w:t>
            </w:r>
            <w:r w:rsidR="00420133">
              <w:rPr>
                <w:rFonts w:ascii="Times New Roman" w:hAnsi="Times New Roman" w:cs="Times New Roman"/>
                <w:sz w:val="28"/>
                <w:szCs w:val="28"/>
              </w:rPr>
              <w:t>5,93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3D0" w:rsidRDefault="00481228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6 416,72263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12D8" w:rsidRDefault="00243C6B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 5 825,45410</w:t>
            </w:r>
            <w:r w:rsidR="005D12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Default="00FE7385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>5 252,45500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75C76" w:rsidRDefault="00A75C76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 xml:space="preserve"> год – 5 252,45500</w:t>
            </w:r>
            <w:r w:rsidRPr="00A75C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F4830" w:rsidRPr="000C7735" w:rsidRDefault="005A2B59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5 252,45</w:t>
            </w:r>
            <w:r w:rsidR="00EF4830">
              <w:rPr>
                <w:rFonts w:ascii="Times New Roman" w:hAnsi="Times New Roman" w:cs="Times New Roman"/>
                <w:sz w:val="28"/>
                <w:szCs w:val="28"/>
              </w:rPr>
              <w:t>500 тыс. руб.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</w:t>
            </w:r>
            <w:r w:rsidR="001A1A20">
              <w:rPr>
                <w:rFonts w:ascii="Times New Roman" w:hAnsi="Times New Roman" w:cs="Times New Roman"/>
                <w:sz w:val="28"/>
                <w:szCs w:val="28"/>
              </w:rPr>
              <w:t>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6C0AC7" w:rsidRPr="000C7735" w:rsidRDefault="00FA6E19" w:rsidP="00BE46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EF4830" w:rsidRPr="00EF4830">
        <w:rPr>
          <w:sz w:val="28"/>
          <w:szCs w:val="28"/>
        </w:rPr>
        <w:t xml:space="preserve">на </w:t>
      </w:r>
      <w:proofErr w:type="gramStart"/>
      <w:r w:rsidR="00EF4830" w:rsidRPr="00EF4830">
        <w:rPr>
          <w:sz w:val="28"/>
          <w:szCs w:val="28"/>
        </w:rPr>
        <w:t>территории</w:t>
      </w:r>
      <w:proofErr w:type="gramEnd"/>
      <w:r w:rsidR="00EF4830" w:rsidRPr="00EF4830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–Программа) направлена на улучшение экологической ситуации, обеспечение санитарных 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lastRenderedPageBreak/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>акапливаются токсичные 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>то приводит к изменению химического состава, грунтовых вод, что 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это обуславливает необходимость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 xml:space="preserve">Решение всего комплекса экологических проблем неразрывно связано с экологическими знаниями человека, уровнем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 xml:space="preserve">, актуальность разработки Программы обусловлена в первую очередь экологическими факторами, а также социальными и </w:t>
      </w:r>
      <w:r w:rsidR="001F7E69" w:rsidRPr="00BE53C0">
        <w:rPr>
          <w:rFonts w:ascii="Times New Roman" w:hAnsi="Times New Roman" w:cs="Times New Roman"/>
          <w:sz w:val="28"/>
          <w:szCs w:val="28"/>
        </w:rPr>
        <w:lastRenderedPageBreak/>
        <w:t>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BE53C0" w:rsidRPr="00BE53C0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160B02" w:rsidRDefault="006C0AC7" w:rsidP="00160B02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последствий хозяйственной деятельности в интересах сохранения здоровья и развития общества.</w:t>
      </w:r>
      <w:r w:rsidR="00160B02" w:rsidRPr="00160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C7" w:rsidRDefault="006C0AC7" w:rsidP="00BE462D">
      <w:pPr>
        <w:pStyle w:val="ConsNormal"/>
        <w:spacing w:after="12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1A1A20" w:rsidRPr="00160B02" w:rsidRDefault="00985093" w:rsidP="0098509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A1A20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населения;</w:t>
      </w:r>
    </w:p>
    <w:p w:rsidR="001A1A20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1A20">
        <w:rPr>
          <w:rFonts w:ascii="Times New Roman" w:hAnsi="Times New Roman" w:cs="Times New Roman"/>
          <w:sz w:val="28"/>
          <w:szCs w:val="28"/>
        </w:rPr>
        <w:t>Ф</w:t>
      </w:r>
      <w:r w:rsidR="001A1A20" w:rsidRPr="00160B02">
        <w:rPr>
          <w:rFonts w:ascii="Times New Roman" w:hAnsi="Times New Roman" w:cs="Times New Roman"/>
          <w:sz w:val="28"/>
          <w:szCs w:val="28"/>
        </w:rPr>
        <w:t>ормирование у населения общей и экологической культуры и нравственности, совершенствование системы экологического просвещения</w:t>
      </w:r>
      <w:r w:rsidR="001A1A20">
        <w:rPr>
          <w:rFonts w:ascii="Times New Roman" w:hAnsi="Times New Roman" w:cs="Times New Roman"/>
          <w:sz w:val="28"/>
          <w:szCs w:val="28"/>
        </w:rPr>
        <w:t xml:space="preserve">, </w:t>
      </w:r>
      <w:r w:rsidR="001A1A20" w:rsidRPr="000C7735">
        <w:rPr>
          <w:rFonts w:ascii="Times New Roman" w:hAnsi="Times New Roman" w:cs="Times New Roman"/>
          <w:sz w:val="28"/>
          <w:szCs w:val="28"/>
        </w:rPr>
        <w:t>повышение роли населения и общественных организаций в оздоровлении экологической обстановки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AC7" w:rsidRPr="00160B02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160B02" w:rsidRPr="00160B02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0B02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0AC7">
        <w:rPr>
          <w:rFonts w:ascii="Times New Roman" w:hAnsi="Times New Roman" w:cs="Times New Roman"/>
          <w:sz w:val="28"/>
          <w:szCs w:val="28"/>
        </w:rPr>
        <w:t xml:space="preserve">Обеспечение соблюдения субъектами хозяйственной и иной деятельности требований и нормативных документов в </w:t>
      </w:r>
      <w:r w:rsidR="001A1A20"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AC7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>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и укрепления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1A1A20" w:rsidRDefault="001A1A20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</w:t>
      </w:r>
      <w:r w:rsidR="00AC07E9">
        <w:rPr>
          <w:rFonts w:ascii="Times New Roman" w:hAnsi="Times New Roman" w:cs="Times New Roman"/>
          <w:b/>
          <w:sz w:val="28"/>
          <w:szCs w:val="28"/>
        </w:rPr>
        <w:t xml:space="preserve"> ожидаемыми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конечными результатами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потенциальных рисков, связанных с неблагоприятным в</w:t>
      </w:r>
      <w:r>
        <w:rPr>
          <w:rFonts w:ascii="Times New Roman" w:hAnsi="Times New Roman" w:cs="Times New Roman"/>
          <w:sz w:val="28"/>
          <w:szCs w:val="28"/>
        </w:rPr>
        <w:t>лиянием экологических факторов;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улучшение состояния лесного фонда;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опасности лесных пожаров;</w:t>
      </w:r>
    </w:p>
    <w:p w:rsidR="001A1A20" w:rsidRDefault="001A1A20" w:rsidP="001A1A2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загрязнения источников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Программы приведены в приложении № 1 к муниципальной программе «Охрана окружающей среды </w:t>
      </w:r>
      <w:r w:rsidR="00EF4830" w:rsidRPr="00EF483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EF4830" w:rsidRPr="00EF4830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EF4830" w:rsidRPr="00EF4830">
        <w:rPr>
          <w:rFonts w:ascii="Times New Roman" w:hAnsi="Times New Roman" w:cs="Times New Roman"/>
          <w:sz w:val="28"/>
          <w:szCs w:val="28"/>
        </w:rPr>
        <w:t xml:space="preserve"> </w:t>
      </w:r>
      <w:r w:rsidR="00E06416" w:rsidRPr="00E06416">
        <w:rPr>
          <w:rFonts w:ascii="Times New Roman" w:hAnsi="Times New Roman" w:cs="Times New Roman"/>
          <w:sz w:val="28"/>
          <w:szCs w:val="28"/>
        </w:rPr>
        <w:t>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5D12D8" w:rsidRDefault="008E4C00" w:rsidP="005D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</w:t>
      </w:r>
      <w:r w:rsidR="00CA03D0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="00E06416" w:rsidRPr="00E06416">
        <w:rPr>
          <w:rFonts w:ascii="Times New Roman" w:hAnsi="Times New Roman" w:cs="Times New Roman"/>
          <w:sz w:val="28"/>
          <w:szCs w:val="28"/>
        </w:rPr>
        <w:t>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F4830">
        <w:rPr>
          <w:rFonts w:ascii="Times New Roman" w:hAnsi="Times New Roman" w:cs="Times New Roman"/>
          <w:sz w:val="28"/>
          <w:szCs w:val="28"/>
        </w:rPr>
        <w:t>-2024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D0">
        <w:rPr>
          <w:rFonts w:ascii="Times New Roman" w:hAnsi="Times New Roman" w:cs="Times New Roman"/>
          <w:sz w:val="28"/>
          <w:szCs w:val="28"/>
        </w:rPr>
        <w:t>, 4 этап-2020 год</w:t>
      </w:r>
      <w:r w:rsidR="005D12D8">
        <w:rPr>
          <w:rFonts w:ascii="Times New Roman" w:hAnsi="Times New Roman" w:cs="Times New Roman"/>
          <w:sz w:val="28"/>
          <w:szCs w:val="28"/>
        </w:rPr>
        <w:t>, 5 этап-2021 год</w:t>
      </w:r>
      <w:r w:rsidR="00FE7385">
        <w:rPr>
          <w:rFonts w:ascii="Times New Roman" w:hAnsi="Times New Roman" w:cs="Times New Roman"/>
          <w:sz w:val="28"/>
          <w:szCs w:val="28"/>
        </w:rPr>
        <w:t>, 6 этап- 2022 год</w:t>
      </w:r>
      <w:r w:rsidR="00A75C76">
        <w:rPr>
          <w:rFonts w:ascii="Times New Roman" w:hAnsi="Times New Roman" w:cs="Times New Roman"/>
          <w:sz w:val="28"/>
          <w:szCs w:val="28"/>
        </w:rPr>
        <w:t>, 7 этап- 2023 год</w:t>
      </w:r>
      <w:r w:rsidR="00EF4830">
        <w:rPr>
          <w:rFonts w:ascii="Times New Roman" w:hAnsi="Times New Roman" w:cs="Times New Roman"/>
          <w:sz w:val="28"/>
          <w:szCs w:val="28"/>
        </w:rPr>
        <w:t>, 8 этап- 2024 год</w:t>
      </w:r>
      <w:r w:rsidR="00E06416" w:rsidRPr="00E06416">
        <w:rPr>
          <w:rFonts w:ascii="Times New Roman" w:hAnsi="Times New Roman" w:cs="Times New Roman"/>
          <w:sz w:val="28"/>
          <w:szCs w:val="28"/>
        </w:rPr>
        <w:t>.</w:t>
      </w:r>
    </w:p>
    <w:p w:rsidR="006C0AC7" w:rsidRPr="005D12D8" w:rsidRDefault="005D12D8" w:rsidP="00EF5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E2D0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992"/>
        <w:gridCol w:w="1843"/>
        <w:gridCol w:w="1417"/>
        <w:gridCol w:w="1701"/>
        <w:gridCol w:w="1268"/>
        <w:gridCol w:w="1596"/>
      </w:tblGrid>
      <w:tr w:rsidR="004A3B99" w:rsidRPr="006A2CA9" w:rsidTr="00573583">
        <w:trPr>
          <w:trHeight w:val="615"/>
        </w:trPr>
        <w:tc>
          <w:tcPr>
            <w:tcW w:w="170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386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Исполнители- ответственные за реализацию программы, подпрограммы </w:t>
            </w:r>
          </w:p>
        </w:tc>
      </w:tr>
      <w:tr w:rsidR="004A3B99" w:rsidRPr="006A2CA9" w:rsidTr="00573583">
        <w:trPr>
          <w:trHeight w:val="61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доходов</w:t>
            </w: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127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иные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межбюджетные трансферты,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собственные доходы, тыс. руб.</w:t>
            </w:r>
          </w:p>
        </w:tc>
        <w:tc>
          <w:tcPr>
            <w:tcW w:w="1268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B5F72" w:rsidRPr="006A2CA9" w:rsidTr="00573583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«Охрана окружающей среды</w:t>
            </w:r>
            <w:r w:rsid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4830"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="00EF4830"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4 773,75170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4 773,75170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4B5F72" w:rsidRPr="006A2CA9" w:rsidTr="00573583">
        <w:trPr>
          <w:trHeight w:val="465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5 040,90320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5 040,90320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33019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9 385,93</w:t>
            </w:r>
            <w:r w:rsidR="004B5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33019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9 385,93</w:t>
            </w:r>
            <w:r w:rsidR="004B5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6 416,72263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6 416,72263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A347C3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5 825,45410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243C6B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5 825,45410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435"/>
        </w:trPr>
        <w:tc>
          <w:tcPr>
            <w:tcW w:w="1702" w:type="dxa"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5 252,45500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5 252,45500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435"/>
        </w:trPr>
        <w:tc>
          <w:tcPr>
            <w:tcW w:w="1702" w:type="dxa"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5 252,45500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5 252,45500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830" w:rsidRPr="006A2CA9" w:rsidTr="00573583">
        <w:trPr>
          <w:trHeight w:val="435"/>
        </w:trPr>
        <w:tc>
          <w:tcPr>
            <w:tcW w:w="1702" w:type="dxa"/>
            <w:shd w:val="clear" w:color="auto" w:fill="auto"/>
          </w:tcPr>
          <w:p w:rsidR="00EF4830" w:rsidRPr="006A2CA9" w:rsidRDefault="00EF4830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5 252,45500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5 252,45500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435"/>
        </w:trPr>
        <w:tc>
          <w:tcPr>
            <w:tcW w:w="1702" w:type="dxa"/>
            <w:shd w:val="clear" w:color="auto" w:fill="auto"/>
            <w:hideMark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1228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Pr="006A2CA9" w:rsidRDefault="00243C6B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47 200,13573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Pr="006A2CA9" w:rsidRDefault="00243C6B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47 200,13573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5F72" w:rsidRPr="006A2CA9" w:rsidTr="00573583">
        <w:trPr>
          <w:trHeight w:val="660"/>
        </w:trPr>
        <w:tc>
          <w:tcPr>
            <w:tcW w:w="1702" w:type="dxa"/>
            <w:vMerge w:val="restart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«Городские леса</w:t>
            </w:r>
            <w:r w:rsid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4830"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="00EF4830"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4B5F72" w:rsidRPr="006A2CA9" w:rsidTr="00573583">
        <w:trPr>
          <w:trHeight w:val="525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4B5F72" w:rsidRPr="001B17D7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119,20536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1B17D7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119,20536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57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27,18240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27,18240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6B28D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8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6B28D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8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60"/>
        </w:trPr>
        <w:tc>
          <w:tcPr>
            <w:tcW w:w="1702" w:type="dxa"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60"/>
        </w:trPr>
        <w:tc>
          <w:tcPr>
            <w:tcW w:w="1702" w:type="dxa"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830" w:rsidRPr="006A2CA9" w:rsidTr="00573583">
        <w:trPr>
          <w:trHeight w:val="360"/>
        </w:trPr>
        <w:tc>
          <w:tcPr>
            <w:tcW w:w="1702" w:type="dxa"/>
            <w:shd w:val="clear" w:color="auto" w:fill="auto"/>
          </w:tcPr>
          <w:p w:rsidR="00EF4830" w:rsidRPr="006A2CA9" w:rsidRDefault="00EF4830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60"/>
        </w:trPr>
        <w:tc>
          <w:tcPr>
            <w:tcW w:w="1702" w:type="dxa"/>
            <w:shd w:val="clear" w:color="auto" w:fill="auto"/>
            <w:hideMark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1228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Pr="006A2CA9" w:rsidRDefault="006B28D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F4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69,29952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Pr="006A2CA9" w:rsidRDefault="006B28D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F4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69,29952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5F72" w:rsidRPr="006A2CA9" w:rsidTr="00573583">
        <w:trPr>
          <w:trHeight w:val="675"/>
        </w:trPr>
        <w:tc>
          <w:tcPr>
            <w:tcW w:w="1702" w:type="dxa"/>
            <w:vMerge w:val="restart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 «Отходы</w:t>
            </w:r>
            <w:r w:rsid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4830"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="00EF4830"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4 518,02234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4 518,02234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«ГКМХ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МКУ «Дорожник»</w:t>
            </w:r>
          </w:p>
        </w:tc>
      </w:tr>
      <w:tr w:rsidR="004B5F72" w:rsidRPr="006A2CA9" w:rsidTr="00573583">
        <w:trPr>
          <w:trHeight w:val="42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4 921,69784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4 921,69784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45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FA16E6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9 358,75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FA16E6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9 358,75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6 389,54023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6 389,54023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243C6B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5 490,45410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243C6B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5 490,45410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75"/>
        </w:trPr>
        <w:tc>
          <w:tcPr>
            <w:tcW w:w="1702" w:type="dxa"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5 217,45500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5 217,45500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75"/>
        </w:trPr>
        <w:tc>
          <w:tcPr>
            <w:tcW w:w="1702" w:type="dxa"/>
            <w:shd w:val="clear" w:color="auto" w:fill="auto"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5 217,45500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5 217,45500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830" w:rsidRPr="006A2CA9" w:rsidTr="00573583">
        <w:trPr>
          <w:trHeight w:val="375"/>
        </w:trPr>
        <w:tc>
          <w:tcPr>
            <w:tcW w:w="1702" w:type="dxa"/>
            <w:shd w:val="clear" w:color="auto" w:fill="auto"/>
          </w:tcPr>
          <w:p w:rsidR="00EF4830" w:rsidRPr="006A2CA9" w:rsidRDefault="00EF4830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5 217,45500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830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5 217,45500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EF4830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hideMark/>
          </w:tcPr>
          <w:p w:rsidR="00481228" w:rsidRPr="006A2CA9" w:rsidRDefault="00EF4830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Pr="006A2CA9" w:rsidRDefault="00243C6B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46 330,83621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Pr="006A2CA9" w:rsidRDefault="00243C6B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46 330,83621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E7385" w:rsidRDefault="00941BB6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12F81" w:rsidRDefault="00FE7385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06416" w:rsidRPr="006A2CA9" w:rsidRDefault="00B12F81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06416" w:rsidRPr="006A2CA9">
        <w:rPr>
          <w:rFonts w:ascii="Times New Roman" w:hAnsi="Times New Roman" w:cs="Times New Roman"/>
          <w:sz w:val="28"/>
          <w:szCs w:val="28"/>
        </w:rPr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73BAD" w:rsidRDefault="00BE53C0" w:rsidP="00F674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6C0AC7" w:rsidRPr="00A67570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53C0">
        <w:rPr>
          <w:rFonts w:ascii="Times New Roman" w:hAnsi="Times New Roman" w:cs="Times New Roman"/>
          <w:sz w:val="24"/>
          <w:szCs w:val="24"/>
        </w:rPr>
        <w:t xml:space="preserve">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C0AC7" w:rsidRPr="00A6757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 w:rsidR="003301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33019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B73BAD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муниципальной программы</w:t>
      </w:r>
    </w:p>
    <w:p w:rsidR="006C0AC7" w:rsidRPr="00B73BAD" w:rsidRDefault="006C0AC7" w:rsidP="00B7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«Охрана окружающей среды</w:t>
      </w:r>
      <w:r w:rsidR="00330196">
        <w:rPr>
          <w:rFonts w:ascii="Times New Roman" w:hAnsi="Times New Roman" w:cs="Times New Roman"/>
          <w:sz w:val="24"/>
          <w:szCs w:val="24"/>
        </w:rPr>
        <w:t xml:space="preserve"> </w:t>
      </w:r>
      <w:r w:rsidR="00330196" w:rsidRPr="0033019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30196" w:rsidRPr="0033019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5821F0" w:rsidRPr="00B73BAD">
        <w:rPr>
          <w:rFonts w:ascii="Times New Roman" w:hAnsi="Times New Roman" w:cs="Times New Roman"/>
          <w:sz w:val="24"/>
          <w:szCs w:val="24"/>
        </w:rPr>
        <w:t xml:space="preserve"> </w:t>
      </w:r>
      <w:r w:rsidRPr="00B73BAD">
        <w:rPr>
          <w:rFonts w:ascii="Times New Roman" w:hAnsi="Times New Roman" w:cs="Times New Roman"/>
          <w:sz w:val="24"/>
          <w:szCs w:val="24"/>
        </w:rPr>
        <w:t>ЗАТО г. Радужный</w:t>
      </w:r>
      <w:r w:rsidR="003924BB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FA6E19" w:rsidRPr="00B73BAD">
        <w:rPr>
          <w:rFonts w:ascii="Times New Roman" w:hAnsi="Times New Roman" w:cs="Times New Roman"/>
          <w:sz w:val="24"/>
          <w:szCs w:val="24"/>
        </w:rPr>
        <w:t xml:space="preserve">» и </w:t>
      </w:r>
      <w:r w:rsidRPr="00B73BAD">
        <w:rPr>
          <w:rFonts w:ascii="Times New Roman" w:hAnsi="Times New Roman" w:cs="Times New Roman"/>
          <w:sz w:val="24"/>
          <w:szCs w:val="24"/>
        </w:rPr>
        <w:t>их значениях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7897"/>
        <w:gridCol w:w="1202"/>
        <w:gridCol w:w="1303"/>
        <w:gridCol w:w="1214"/>
        <w:gridCol w:w="940"/>
        <w:gridCol w:w="940"/>
        <w:gridCol w:w="940"/>
      </w:tblGrid>
      <w:tr w:rsidR="004E13F8" w:rsidRPr="00B73BAD" w:rsidTr="004E13F8">
        <w:tc>
          <w:tcPr>
            <w:tcW w:w="0" w:type="auto"/>
            <w:vMerge w:val="restart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№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Целевой индикатор (показатель</w:t>
            </w:r>
            <w:proofErr w:type="gramStart"/>
            <w:r w:rsidRPr="00B73BAD">
              <w:rPr>
                <w:rFonts w:ascii="Times New Roman" w:hAnsi="Times New Roman" w:cs="Times New Roman"/>
              </w:rPr>
              <w:t>),  наименование</w:t>
            </w:r>
            <w:proofErr w:type="gramEnd"/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Ед.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0" w:type="auto"/>
            <w:gridSpan w:val="5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</w:tc>
      </w:tr>
      <w:tr w:rsidR="004E13F8" w:rsidRPr="00B73BAD" w:rsidTr="004E13F8"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B73BAD" w:rsidRDefault="0094533D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Плановый период реализации программы</w:t>
            </w:r>
          </w:p>
        </w:tc>
      </w:tr>
      <w:tr w:rsidR="004E13F8" w:rsidRPr="00B73BAD" w:rsidTr="004E13F8"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80BC8">
              <w:rPr>
                <w:rFonts w:ascii="Times New Roman" w:hAnsi="Times New Roman" w:cs="Times New Roman"/>
              </w:rPr>
              <w:t>21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среды</w:t>
            </w:r>
            <w:r w:rsid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 г. Радужный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Владимирской области»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proofErr w:type="gramEnd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B73BAD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учтенных субъектов хозяйственной и иной деятельности, расположенных на </w:t>
            </w:r>
            <w:proofErr w:type="gramStart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  <w:r w:rsidR="002A75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«Городские леса</w:t>
            </w:r>
            <w:r w:rsidR="00330196" w:rsidRPr="003301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</w:t>
            </w:r>
            <w:r w:rsid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</w:t>
            </w:r>
            <w:proofErr w:type="gramEnd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«Отходы</w:t>
            </w:r>
            <w:r w:rsid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</w:t>
            </w:r>
            <w:proofErr w:type="gramEnd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F674D6">
      <w:pPr>
        <w:pStyle w:val="a6"/>
        <w:jc w:val="left"/>
        <w:rPr>
          <w:sz w:val="28"/>
          <w:szCs w:val="28"/>
        </w:rPr>
      </w:pPr>
    </w:p>
    <w:p w:rsidR="006C0AC7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>леса</w:t>
      </w:r>
      <w:r w:rsidR="0033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196" w:rsidRPr="00330196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 xml:space="preserve">   ЗАТО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F674D6">
      <w:pPr>
        <w:pStyle w:val="ConsNormal"/>
        <w:suppressAutoHyphens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«Городские леса</w:t>
            </w:r>
            <w:r w:rsid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территории</w:t>
            </w:r>
            <w:proofErr w:type="gramEnd"/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6C0AC7" w:rsidRPr="004942E4" w:rsidRDefault="006312F0" w:rsidP="00213EC8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</w:t>
            </w:r>
            <w:proofErr w:type="spellStart"/>
            <w:r w:rsidR="00FA6E19">
              <w:rPr>
                <w:rFonts w:ascii="Times New Roman" w:hAnsi="Times New Roman" w:cs="Times New Roman"/>
                <w:sz w:val="28"/>
                <w:szCs w:val="28"/>
              </w:rPr>
              <w:t>природоформирующего</w:t>
            </w:r>
            <w:proofErr w:type="spellEnd"/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330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41BB6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DF1673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 этап -  2021 год</w:t>
            </w:r>
          </w:p>
          <w:p w:rsidR="00FE7385" w:rsidRDefault="00FE7385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6 этап – 2022 год</w:t>
            </w:r>
          </w:p>
          <w:p w:rsidR="00B80BC8" w:rsidRDefault="00B80BC8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330196">
              <w:rPr>
                <w:rFonts w:ascii="Times New Roman" w:hAnsi="Times New Roman" w:cs="Times New Roman"/>
                <w:sz w:val="28"/>
                <w:szCs w:val="28"/>
              </w:rPr>
              <w:t>7 этап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  <w:p w:rsidR="00330196" w:rsidRPr="004942E4" w:rsidRDefault="00330196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8 этап – 2024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ассигнований  под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8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2B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0196">
              <w:rPr>
                <w:rFonts w:ascii="Times New Roman" w:hAnsi="Times New Roman" w:cs="Times New Roman"/>
                <w:sz w:val="28"/>
                <w:szCs w:val="28"/>
              </w:rPr>
              <w:t>9,29952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255,72936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E63B95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119,20536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Default="004B5F72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941BB6" w:rsidRPr="004942E4" w:rsidRDefault="00B80BC8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81CB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C0AC7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81CB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8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Default="00B12F81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228" w:rsidRPr="0048122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F8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B80BC8" w:rsidRDefault="00B80BC8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2023</w:t>
            </w:r>
            <w:r w:rsidRPr="00B80BC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81228" w:rsidRPr="0048122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B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30196" w:rsidRPr="004942E4" w:rsidRDefault="00330196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2024 год – 35 тыс. руб.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2A75B1" w:rsidP="004942E4">
      <w:pPr>
        <w:pStyle w:val="21"/>
        <w:rPr>
          <w:sz w:val="28"/>
          <w:szCs w:val="28"/>
        </w:rPr>
      </w:pPr>
      <w:r>
        <w:rPr>
          <w:sz w:val="28"/>
          <w:szCs w:val="28"/>
        </w:rPr>
        <w:t>Территория «</w:t>
      </w:r>
      <w:r w:rsidR="006C0AC7" w:rsidRPr="004942E4">
        <w:rPr>
          <w:sz w:val="28"/>
          <w:szCs w:val="28"/>
        </w:rPr>
        <w:t xml:space="preserve">Городских </w:t>
      </w:r>
      <w:r>
        <w:rPr>
          <w:sz w:val="28"/>
          <w:szCs w:val="28"/>
        </w:rPr>
        <w:t>лесов»</w:t>
      </w:r>
      <w:r w:rsidR="006C0AC7" w:rsidRPr="004942E4">
        <w:rPr>
          <w:sz w:val="28"/>
          <w:szCs w:val="28"/>
        </w:rPr>
        <w:t xml:space="preserve"> граничит с земл</w:t>
      </w:r>
      <w:r w:rsidR="00FA6E19">
        <w:rPr>
          <w:sz w:val="28"/>
          <w:szCs w:val="28"/>
        </w:rPr>
        <w:t xml:space="preserve">ями: </w:t>
      </w:r>
      <w:proofErr w:type="spellStart"/>
      <w:r w:rsidR="001B0D2F">
        <w:rPr>
          <w:sz w:val="28"/>
          <w:szCs w:val="28"/>
        </w:rPr>
        <w:t>Собинского</w:t>
      </w:r>
      <w:proofErr w:type="spellEnd"/>
      <w:r w:rsidR="001B0D2F">
        <w:rPr>
          <w:sz w:val="28"/>
          <w:szCs w:val="28"/>
        </w:rPr>
        <w:t xml:space="preserve"> (на западе), </w:t>
      </w:r>
      <w:proofErr w:type="spellStart"/>
      <w:r w:rsidR="001B0D2F">
        <w:rPr>
          <w:sz w:val="28"/>
          <w:szCs w:val="28"/>
        </w:rPr>
        <w:t>Су</w:t>
      </w:r>
      <w:r w:rsidR="006C0AC7" w:rsidRPr="004942E4">
        <w:rPr>
          <w:sz w:val="28"/>
          <w:szCs w:val="28"/>
        </w:rPr>
        <w:t>догодского</w:t>
      </w:r>
      <w:proofErr w:type="spellEnd"/>
      <w:r w:rsidR="006C0AC7" w:rsidRPr="004942E4">
        <w:rPr>
          <w:sz w:val="28"/>
          <w:szCs w:val="28"/>
        </w:rPr>
        <w:t xml:space="preserve"> районов (на севере и востоке), лесного фонда ГКУ «Владимир</w:t>
      </w:r>
      <w:r w:rsidR="006C0AC7"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lastRenderedPageBreak/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proofErr w:type="spell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proofErr w:type="spell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Территория городских </w:t>
      </w:r>
      <w:proofErr w:type="gramStart"/>
      <w:r w:rsidR="006C0AC7" w:rsidRPr="000C7735">
        <w:rPr>
          <w:rFonts w:ascii="Times New Roman" w:hAnsi="Times New Roman" w:cs="Times New Roman"/>
          <w:sz w:val="28"/>
          <w:szCs w:val="28"/>
        </w:rPr>
        <w:t>лесов</w:t>
      </w:r>
      <w:proofErr w:type="gram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</w:t>
      </w:r>
      <w:proofErr w:type="spellStart"/>
      <w:r w:rsidR="006C0AC7" w:rsidRPr="000C7735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лесообразующих древесных и кустарниковых пород зоны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чье, представляющим слабо всхолмленную равнину. Река </w:t>
      </w:r>
      <w:proofErr w:type="spellStart"/>
      <w:r w:rsidRPr="000C7735">
        <w:rPr>
          <w:rFonts w:ascii="Times New Roman" w:hAnsi="Times New Roman" w:cs="Times New Roman"/>
          <w:sz w:val="28"/>
          <w:szCs w:val="28"/>
        </w:rPr>
        <w:t>Клязьма</w:t>
      </w:r>
      <w:proofErr w:type="spellEnd"/>
      <w:r w:rsidRPr="000C7735">
        <w:rPr>
          <w:rFonts w:ascii="Times New Roman" w:hAnsi="Times New Roman" w:cs="Times New Roman"/>
          <w:sz w:val="28"/>
          <w:szCs w:val="28"/>
        </w:rPr>
        <w:t>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дерново-подзолистые;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полуболотные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болотные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 xml:space="preserve">По механическому составу встречаются следующие разновидности почв: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тяжело-суглинистые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 xml:space="preserve">По степени </w:t>
      </w:r>
      <w:proofErr w:type="spellStart"/>
      <w:r w:rsidRPr="000C7735">
        <w:rPr>
          <w:sz w:val="28"/>
          <w:szCs w:val="28"/>
        </w:rPr>
        <w:t>оподзоленности</w:t>
      </w:r>
      <w:proofErr w:type="spellEnd"/>
      <w:r w:rsidRPr="000C7735">
        <w:rPr>
          <w:sz w:val="28"/>
          <w:szCs w:val="28"/>
        </w:rPr>
        <w:t xml:space="preserve">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>ризонта над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 xml:space="preserve">необходимостью сохранения и воспроизводства городских </w:t>
      </w:r>
      <w:proofErr w:type="gramStart"/>
      <w:r w:rsidR="00EE2D05" w:rsidRPr="001F2B26">
        <w:rPr>
          <w:sz w:val="28"/>
          <w:szCs w:val="28"/>
        </w:rPr>
        <w:t>лесов</w:t>
      </w:r>
      <w:proofErr w:type="gramEnd"/>
      <w:r w:rsidR="00EE2D05" w:rsidRPr="001F2B26">
        <w:rPr>
          <w:sz w:val="28"/>
          <w:szCs w:val="28"/>
        </w:rPr>
        <w:t xml:space="preserve">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r w:rsidRPr="001F2B26">
        <w:rPr>
          <w:sz w:val="28"/>
          <w:szCs w:val="28"/>
        </w:rPr>
        <w:t xml:space="preserve">экологическими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790DA8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являю</w:t>
      </w:r>
      <w:r w:rsidR="006C0AC7" w:rsidRPr="001F2B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0AC7" w:rsidRPr="001F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A8" w:rsidRPr="004942E4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с</w:t>
      </w:r>
      <w:r w:rsidRPr="004942E4">
        <w:rPr>
          <w:rFonts w:ascii="Times New Roman" w:hAnsi="Times New Roman" w:cs="Times New Roman"/>
          <w:sz w:val="28"/>
          <w:szCs w:val="28"/>
        </w:rPr>
        <w:t>охранение и воспроизводство лесов как сырьевой базы, обеспечивающей потребности экономики и населения в древесной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древесной продукции, и как</w:t>
      </w:r>
      <w:r>
        <w:rPr>
          <w:rFonts w:ascii="Times New Roman" w:hAnsi="Times New Roman" w:cs="Times New Roman"/>
          <w:sz w:val="28"/>
          <w:szCs w:val="28"/>
        </w:rPr>
        <w:t xml:space="preserve"> важнейшего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природоформирующего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компонента окружающей природной среды на основе рационального и не</w:t>
      </w:r>
      <w:r>
        <w:rPr>
          <w:rFonts w:ascii="Times New Roman" w:hAnsi="Times New Roman" w:cs="Times New Roman"/>
          <w:sz w:val="28"/>
          <w:szCs w:val="28"/>
        </w:rPr>
        <w:t xml:space="preserve"> истощительного лесопользования;</w:t>
      </w:r>
    </w:p>
    <w:p w:rsidR="00790DA8" w:rsidRPr="00FD559F" w:rsidRDefault="00790DA8" w:rsidP="00790DA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942E4">
        <w:rPr>
          <w:rFonts w:ascii="Times New Roman" w:hAnsi="Times New Roman" w:cs="Times New Roman"/>
          <w:sz w:val="28"/>
          <w:szCs w:val="28"/>
        </w:rPr>
        <w:t>храна и восстановление водных объектов - источников питьевого водоснабжения</w:t>
      </w:r>
    </w:p>
    <w:p w:rsidR="006C0AC7" w:rsidRPr="00FD559F" w:rsidRDefault="00324E95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AC7" w:rsidRPr="00324E95">
        <w:rPr>
          <w:rFonts w:ascii="Times New Roman" w:hAnsi="Times New Roman" w:cs="Times New Roman"/>
          <w:sz w:val="28"/>
          <w:szCs w:val="28"/>
        </w:rPr>
        <w:t>сохранение и воспроизводство лесов как сырьевой базы, обеспечивающей потребности экономики и населения в древесной и не</w:t>
      </w:r>
      <w:r w:rsidR="00FA6E19" w:rsidRPr="00324E95">
        <w:rPr>
          <w:rFonts w:ascii="Times New Roman" w:hAnsi="Times New Roman" w:cs="Times New Roman"/>
          <w:sz w:val="28"/>
          <w:szCs w:val="28"/>
        </w:rPr>
        <w:t xml:space="preserve"> </w:t>
      </w:r>
      <w:r w:rsidR="006C0AC7" w:rsidRPr="00324E95">
        <w:rPr>
          <w:rFonts w:ascii="Times New Roman" w:hAnsi="Times New Roman" w:cs="Times New Roman"/>
          <w:sz w:val="28"/>
          <w:szCs w:val="28"/>
        </w:rPr>
        <w:t>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324E9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324E95">
        <w:rPr>
          <w:rFonts w:ascii="Times New Roman" w:hAnsi="Times New Roman" w:cs="Times New Roman"/>
          <w:sz w:val="28"/>
          <w:szCs w:val="28"/>
        </w:rPr>
        <w:t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790DA8" w:rsidRPr="00FD559F" w:rsidRDefault="00790DA8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- развития и укрепления </w:t>
            </w:r>
            <w:proofErr w:type="spellStart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spellEnd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- эксплуатационной базы;</w:t>
            </w:r>
          </w:p>
          <w:p w:rsidR="00790DA8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96B" w:rsidRPr="00FD559F" w:rsidRDefault="00790DA8" w:rsidP="00790DA8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«Городские   леса</w:t>
            </w:r>
            <w:r w:rsidR="0042013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» ожидается улучшение состояния лесного фонда, основными факторами которого являются </w:t>
            </w:r>
            <w:proofErr w:type="spellStart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лесовосстановление</w:t>
            </w:r>
            <w:proofErr w:type="spellEnd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, улучшение санитарного состояния лесов 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 опасности лесных пожаров, п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редотвращение загрязнения и оздоровление источников питьевого водоснабжения.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proofErr w:type="spellStart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</w:t>
      </w:r>
      <w:r w:rsidR="00420133">
        <w:rPr>
          <w:rFonts w:ascii="Times New Roman" w:hAnsi="Times New Roman" w:cs="Times New Roman"/>
          <w:sz w:val="28"/>
          <w:szCs w:val="28"/>
        </w:rPr>
        <w:t xml:space="preserve"> </w:t>
      </w:r>
      <w:r w:rsidR="00420133" w:rsidRPr="0042013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20133" w:rsidRPr="0042013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EE2D05" w:rsidRPr="00E06416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416">
        <w:rPr>
          <w:rFonts w:ascii="Times New Roman" w:hAnsi="Times New Roman" w:cs="Times New Roman"/>
          <w:sz w:val="28"/>
          <w:szCs w:val="28"/>
        </w:rPr>
        <w:t>Сроки</w:t>
      </w:r>
      <w:r w:rsidR="00511C98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Pr="00E06416">
        <w:rPr>
          <w:rFonts w:ascii="Times New Roman" w:hAnsi="Times New Roman" w:cs="Times New Roman"/>
          <w:sz w:val="28"/>
          <w:szCs w:val="28"/>
        </w:rPr>
        <w:t>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="009A7E77">
        <w:rPr>
          <w:rFonts w:ascii="Times New Roman" w:hAnsi="Times New Roman" w:cs="Times New Roman"/>
          <w:sz w:val="28"/>
          <w:szCs w:val="28"/>
        </w:rPr>
        <w:t>-2023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41BB6">
        <w:rPr>
          <w:rFonts w:ascii="Times New Roman" w:hAnsi="Times New Roman" w:cs="Times New Roman"/>
          <w:sz w:val="28"/>
          <w:szCs w:val="28"/>
        </w:rPr>
        <w:t>, 4 этап – 2020 год</w:t>
      </w:r>
      <w:r w:rsidR="00DF1673">
        <w:rPr>
          <w:rFonts w:ascii="Times New Roman" w:hAnsi="Times New Roman" w:cs="Times New Roman"/>
          <w:sz w:val="28"/>
          <w:szCs w:val="28"/>
        </w:rPr>
        <w:t>, 5 этап – 2021 год</w:t>
      </w:r>
      <w:r w:rsidR="004C1EB7">
        <w:rPr>
          <w:rFonts w:ascii="Times New Roman" w:hAnsi="Times New Roman" w:cs="Times New Roman"/>
          <w:sz w:val="28"/>
          <w:szCs w:val="28"/>
        </w:rPr>
        <w:t>, 6 этап – 2022 год</w:t>
      </w:r>
      <w:r w:rsidR="00B80BC8">
        <w:rPr>
          <w:rFonts w:ascii="Times New Roman" w:hAnsi="Times New Roman" w:cs="Times New Roman"/>
          <w:sz w:val="28"/>
          <w:szCs w:val="28"/>
        </w:rPr>
        <w:t>, 7 этап – 2023 год</w:t>
      </w:r>
      <w:r w:rsidR="00330196">
        <w:rPr>
          <w:rFonts w:ascii="Times New Roman" w:hAnsi="Times New Roman" w:cs="Times New Roman"/>
          <w:sz w:val="28"/>
          <w:szCs w:val="28"/>
        </w:rPr>
        <w:t>, 8 этап – 2024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C41" w:rsidRP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C99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tbl>
      <w:tblPr>
        <w:tblpPr w:leftFromText="180" w:rightFromText="180" w:vertAnchor="text" w:horzAnchor="margin" w:tblpY="25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397"/>
        <w:gridCol w:w="1055"/>
        <w:gridCol w:w="1311"/>
        <w:gridCol w:w="943"/>
        <w:gridCol w:w="1104"/>
        <w:gridCol w:w="1200"/>
        <w:gridCol w:w="1235"/>
        <w:gridCol w:w="1244"/>
      </w:tblGrid>
      <w:tr w:rsidR="00E14C99" w:rsidRPr="00F11D2C" w:rsidTr="00E14C99">
        <w:trPr>
          <w:trHeight w:val="2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E14C99" w:rsidRPr="00F11D2C" w:rsidTr="00E14C99">
        <w:trPr>
          <w:trHeight w:val="26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C99" w:rsidRPr="00F11D2C" w:rsidTr="00E14C99">
        <w:trPr>
          <w:trHeight w:val="3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C99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14C99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673">
              <w:rPr>
                <w:rFonts w:ascii="Times New Roman" w:hAnsi="Times New Roman"/>
                <w:sz w:val="18"/>
                <w:szCs w:val="18"/>
              </w:rPr>
              <w:t xml:space="preserve">Подпрограмма </w:t>
            </w:r>
            <w:r w:rsidRPr="0008096B">
              <w:rPr>
                <w:rFonts w:ascii="Times New Roman" w:hAnsi="Times New Roman" w:cs="Times New Roman"/>
                <w:bCs/>
              </w:rPr>
              <w:t xml:space="preserve">«Городские </w:t>
            </w:r>
            <w:proofErr w:type="gramStart"/>
            <w:r w:rsidRPr="0008096B">
              <w:rPr>
                <w:rFonts w:ascii="Times New Roman" w:hAnsi="Times New Roman" w:cs="Times New Roman"/>
                <w:bCs/>
              </w:rPr>
              <w:t>леса</w:t>
            </w:r>
            <w:r w:rsidR="00330196">
              <w:rPr>
                <w:rFonts w:ascii="Times New Roman" w:hAnsi="Times New Roman" w:cs="Times New Roman"/>
                <w:bCs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Cs/>
              </w:rPr>
              <w:t>на</w:t>
            </w:r>
            <w:proofErr w:type="gramEnd"/>
            <w:r w:rsidR="00330196" w:rsidRPr="00330196">
              <w:rPr>
                <w:rFonts w:ascii="Times New Roman" w:hAnsi="Times New Roman" w:cs="Times New Roman"/>
                <w:bCs/>
              </w:rPr>
              <w:t xml:space="preserve"> территории </w:t>
            </w:r>
            <w:r w:rsidRPr="0008096B">
              <w:rPr>
                <w:rFonts w:ascii="Times New Roman" w:hAnsi="Times New Roman" w:cs="Times New Roman"/>
                <w:bCs/>
              </w:rPr>
              <w:t xml:space="preserve"> ЗАТО г. Радужный Владимирской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330196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«ГКМХ», МКУ «Дорожник»</w:t>
            </w: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330196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6B28D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30196">
              <w:rPr>
                <w:rFonts w:ascii="Times New Roman" w:hAnsi="Times New Roman"/>
              </w:rPr>
              <w:t>69</w:t>
            </w:r>
            <w:r w:rsidR="00481228">
              <w:rPr>
                <w:rFonts w:ascii="Times New Roman" w:hAnsi="Times New Roman"/>
              </w:rPr>
              <w:t>,29952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6B28D8" w:rsidP="00D3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30196">
              <w:rPr>
                <w:rFonts w:ascii="Times New Roman" w:hAnsi="Times New Roman" w:cs="Times New Roman"/>
              </w:rPr>
              <w:t>69</w:t>
            </w:r>
            <w:r w:rsidR="00481228">
              <w:rPr>
                <w:rFonts w:ascii="Times New Roman" w:hAnsi="Times New Roman" w:cs="Times New Roman"/>
              </w:rPr>
              <w:t>,29952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255,72936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255,72936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119,20536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119,20536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27,18240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27,18240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228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27,18240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27,18240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228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6B28D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1228" w:rsidRPr="00B80BC8">
              <w:rPr>
                <w:rFonts w:ascii="Times New Roman" w:hAnsi="Times New Roman"/>
              </w:rPr>
              <w:t>35,00000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6B28D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1228" w:rsidRPr="00B80BC8">
              <w:rPr>
                <w:rFonts w:ascii="Times New Roman" w:hAnsi="Times New Roman"/>
              </w:rPr>
              <w:t>35,00000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228" w:rsidRPr="00F11D2C" w:rsidTr="00B80BC8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228" w:rsidRPr="00F11D2C" w:rsidTr="0033019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0196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F11D2C" w:rsidRDefault="00330196" w:rsidP="0033019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F11D2C" w:rsidRDefault="00330196" w:rsidP="0033019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B80BC8" w:rsidRDefault="00330196" w:rsidP="0033019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B80BC8" w:rsidRDefault="00330196" w:rsidP="00330196">
            <w:pPr>
              <w:widowControl w:val="0"/>
              <w:jc w:val="both"/>
              <w:rPr>
                <w:rFonts w:ascii="Times New Roman" w:hAnsi="Times New Roman"/>
              </w:rPr>
            </w:pPr>
            <w:r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F11D2C" w:rsidRDefault="00330196" w:rsidP="0033019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F11D2C" w:rsidRDefault="00330196" w:rsidP="0033019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B80BC8" w:rsidRDefault="00330196" w:rsidP="00330196">
            <w:pPr>
              <w:widowControl w:val="0"/>
              <w:jc w:val="both"/>
              <w:rPr>
                <w:rFonts w:ascii="Times New Roman" w:hAnsi="Times New Roman"/>
              </w:rPr>
            </w:pPr>
            <w:r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F11D2C" w:rsidRDefault="00330196" w:rsidP="0033019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96" w:rsidRPr="00F11D2C" w:rsidRDefault="00330196" w:rsidP="0033019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74E8D" w:rsidRDefault="00774E8D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Pr="001F2B26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0A07D8" w:rsidP="000A07D8">
      <w:pPr>
        <w:pStyle w:val="a5"/>
        <w:spacing w:before="0" w:after="0"/>
        <w:ind w:left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B3143" w:rsidRPr="00FD559F">
        <w:rPr>
          <w:b/>
          <w:sz w:val="28"/>
          <w:szCs w:val="28"/>
        </w:rPr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 xml:space="preserve">Перечень мероприятий подпрограммы определен в </w:t>
      </w:r>
      <w:r w:rsidR="000A07D8">
        <w:rPr>
          <w:sz w:val="28"/>
          <w:szCs w:val="28"/>
        </w:rPr>
        <w:t xml:space="preserve">приложении </w:t>
      </w:r>
      <w:r w:rsidRPr="00EE2D05">
        <w:rPr>
          <w:sz w:val="28"/>
          <w:szCs w:val="28"/>
        </w:rPr>
        <w:t>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</w:t>
      </w:r>
      <w:r w:rsidR="0033019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gramStart"/>
      <w:r w:rsidR="00330196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F674D6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gramEnd"/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</w:t>
            </w:r>
            <w:r w:rsid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территории</w:t>
            </w:r>
            <w:proofErr w:type="gramEnd"/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благоприятной окружающей среды и экологической безопасности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042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3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59"/>
                <w:tab w:val="left" w:pos="80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свалок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901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7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CD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D13A18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рограммы приведены в приложении № 1 к муниципальной программе «Охрана окружающей среды</w:t>
            </w:r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133" w:rsidRPr="0042013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420133" w:rsidRPr="00420133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420133" w:rsidRPr="00420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1EB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2013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Default="00B438F7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1C98" w:rsidRDefault="00511C98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DF1673" w:rsidRDefault="00DF1673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этап – 2021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Default="004C1EB7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6 этап – 2022 год</w:t>
            </w:r>
          </w:p>
          <w:p w:rsidR="00023710" w:rsidRDefault="00023710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7 этап – 2023 год</w:t>
            </w:r>
          </w:p>
          <w:p w:rsidR="00420133" w:rsidRPr="005F3364" w:rsidRDefault="00420133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8 этап – 2024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876145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составляет </w:t>
            </w:r>
          </w:p>
          <w:p w:rsidR="006C0AC7" w:rsidRPr="00AC3579" w:rsidRDefault="00A347C3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46 330,83621</w:t>
            </w:r>
            <w:r w:rsidR="00876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 w:rsidR="001F2B26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B95">
              <w:rPr>
                <w:rFonts w:ascii="Times New Roman" w:hAnsi="Times New Roman" w:cs="Times New Roman"/>
                <w:sz w:val="28"/>
                <w:szCs w:val="28"/>
              </w:rPr>
              <w:t>4921,69784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Default="001B0D2F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073">
              <w:rPr>
                <w:rFonts w:ascii="Times New Roman" w:hAnsi="Times New Roman" w:cs="Times New Roman"/>
                <w:sz w:val="28"/>
                <w:szCs w:val="28"/>
              </w:rPr>
              <w:t>9358,74</w:t>
            </w:r>
            <w:r w:rsidR="00D32243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11C98" w:rsidRDefault="00AB6D8D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>020 год – 6389,54023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1673" w:rsidRDefault="00DF167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450789">
              <w:rPr>
                <w:rFonts w:ascii="Times New Roman" w:hAnsi="Times New Roman" w:cs="Times New Roman"/>
                <w:sz w:val="28"/>
                <w:szCs w:val="28"/>
              </w:rPr>
              <w:t xml:space="preserve"> год – 5490,45410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C1EB7" w:rsidRDefault="004C1EB7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>5217,45500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3710" w:rsidRDefault="00023710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 xml:space="preserve"> год – 5217,45500</w:t>
            </w:r>
            <w:r w:rsidRPr="0002371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0133" w:rsidRPr="005F3364" w:rsidRDefault="0042013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420133">
              <w:rPr>
                <w:rFonts w:ascii="Times New Roman" w:hAnsi="Times New Roman" w:cs="Times New Roman"/>
                <w:sz w:val="28"/>
                <w:szCs w:val="28"/>
              </w:rPr>
              <w:t xml:space="preserve"> год – 5217,45500 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свалок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экологической безопасности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Обеспечение экологической безопасности населения является сложнейшей задачей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переработке отходов и недобросовестное отношение большинства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населения к вывозу и захоронению отходов привело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>. Сложность решения проблемы состоит в чрезвычайно широком спектре опасных для человека химических веществ (</w:t>
      </w:r>
      <w:proofErr w:type="spellStart"/>
      <w:r>
        <w:rPr>
          <w:sz w:val="28"/>
          <w:szCs w:val="28"/>
        </w:rPr>
        <w:t>биотоксинов</w:t>
      </w:r>
      <w:proofErr w:type="spellEnd"/>
      <w:r>
        <w:rPr>
          <w:sz w:val="28"/>
          <w:szCs w:val="28"/>
        </w:rPr>
        <w:t xml:space="preserve">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</w:t>
      </w:r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</w:t>
      </w:r>
      <w:proofErr w:type="spellStart"/>
      <w:r>
        <w:rPr>
          <w:sz w:val="28"/>
          <w:szCs w:val="28"/>
        </w:rPr>
        <w:t>эпизоотически</w:t>
      </w:r>
      <w:proofErr w:type="spellEnd"/>
      <w:r>
        <w:rPr>
          <w:sz w:val="28"/>
          <w:szCs w:val="28"/>
        </w:rPr>
        <w:t xml:space="preserve"> опасного характера, имеющие тенденцию перехода в </w:t>
      </w:r>
      <w:proofErr w:type="spellStart"/>
      <w:r>
        <w:rPr>
          <w:sz w:val="28"/>
          <w:szCs w:val="28"/>
        </w:rPr>
        <w:t>эпидемически</w:t>
      </w:r>
      <w:proofErr w:type="spellEnd"/>
      <w:r>
        <w:rPr>
          <w:sz w:val="28"/>
          <w:szCs w:val="28"/>
        </w:rPr>
        <w:t xml:space="preserve">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опасные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ветеринарным </w:t>
      </w:r>
      <w:proofErr w:type="spellStart"/>
      <w:r>
        <w:rPr>
          <w:sz w:val="28"/>
          <w:szCs w:val="28"/>
        </w:rPr>
        <w:t>конфискатам</w:t>
      </w:r>
      <w:proofErr w:type="spellEnd"/>
      <w:r>
        <w:rPr>
          <w:sz w:val="28"/>
          <w:szCs w:val="28"/>
        </w:rPr>
        <w:t xml:space="preserve">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 животного происхождения</w:t>
      </w:r>
      <w:proofErr w:type="gramEnd"/>
      <w:r>
        <w:rPr>
          <w:sz w:val="28"/>
          <w:szCs w:val="28"/>
        </w:rPr>
        <w:t xml:space="preserve">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операционных;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инфекционных, кожно-венерологических отделениях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медицинских патологоанатомических лабораториях;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 xml:space="preserve">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фтизиатрических и микологических клиниках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 xml:space="preserve">, которая включает в себя как </w:t>
      </w:r>
      <w:proofErr w:type="gramStart"/>
      <w:r w:rsidR="00916751" w:rsidRPr="00916751">
        <w:rPr>
          <w:sz w:val="28"/>
          <w:szCs w:val="28"/>
        </w:rPr>
        <w:t>экологические</w:t>
      </w:r>
      <w:proofErr w:type="gramEnd"/>
      <w:r w:rsidR="00916751" w:rsidRPr="00916751">
        <w:rPr>
          <w:sz w:val="28"/>
          <w:szCs w:val="28"/>
        </w:rPr>
        <w:t xml:space="preserve">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 xml:space="preserve">Обеспечение благоприятной окружающей среды и экологической безопасности на территории муниципального </w:t>
      </w:r>
      <w:proofErr w:type="gramStart"/>
      <w:r w:rsidRPr="00946C6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46C6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067BCD" w:rsidRPr="00067BCD" w:rsidRDefault="00067BCD" w:rsidP="00067BCD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C0AC7" w:rsidRP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C0AC7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C0AC7"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C0AC7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790DA8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790DA8" w:rsidRPr="005F3364">
        <w:rPr>
          <w:rFonts w:ascii="Times New Roman" w:hAnsi="Times New Roman" w:cs="Times New Roman"/>
          <w:sz w:val="28"/>
          <w:szCs w:val="28"/>
        </w:rPr>
        <w:t xml:space="preserve">Ликвидация несанкционированных свалок на </w:t>
      </w:r>
      <w:proofErr w:type="gramStart"/>
      <w:r w:rsidR="00790DA8" w:rsidRPr="005F336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90DA8" w:rsidRPr="005F3364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790DA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6C0AC7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6C0AC7"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="009E50D2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r w:rsidRPr="00067BCD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BCD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несанкционированные свалки   на   территории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Повысить    экологическую     безопасность    на     территории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</w:t>
      </w:r>
      <w:r w:rsidR="004201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42013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</w:t>
      </w:r>
      <w:r w:rsidR="004201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42013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6416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t xml:space="preserve">      Сроки и этапы реализации</w:t>
      </w:r>
      <w:r w:rsidR="00511C9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834B1E">
        <w:rPr>
          <w:rFonts w:ascii="Times New Roman" w:hAnsi="Times New Roman" w:cs="Times New Roman"/>
          <w:sz w:val="28"/>
          <w:szCs w:val="28"/>
        </w:rPr>
        <w:t>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="00420133">
        <w:rPr>
          <w:rFonts w:ascii="Times New Roman" w:hAnsi="Times New Roman" w:cs="Times New Roman"/>
          <w:sz w:val="28"/>
          <w:szCs w:val="28"/>
        </w:rPr>
        <w:t>-2024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834B1E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834B1E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</w:t>
      </w:r>
      <w:r w:rsidR="00511C98">
        <w:rPr>
          <w:rFonts w:ascii="Times New Roman" w:hAnsi="Times New Roman" w:cs="Times New Roman"/>
          <w:sz w:val="28"/>
          <w:szCs w:val="28"/>
        </w:rPr>
        <w:t>, 4 этап – 2020 год</w:t>
      </w:r>
      <w:r w:rsidR="004C1EB7">
        <w:rPr>
          <w:rFonts w:ascii="Times New Roman" w:hAnsi="Times New Roman" w:cs="Times New Roman"/>
          <w:sz w:val="28"/>
          <w:szCs w:val="28"/>
        </w:rPr>
        <w:t>, 5 этап- 2021, 6 этап- 2022 год</w:t>
      </w:r>
      <w:r w:rsidR="00023710">
        <w:rPr>
          <w:rFonts w:ascii="Times New Roman" w:hAnsi="Times New Roman" w:cs="Times New Roman"/>
          <w:sz w:val="28"/>
          <w:szCs w:val="28"/>
        </w:rPr>
        <w:t>, 7 этап – 2023 год</w:t>
      </w:r>
      <w:r w:rsidR="00420133">
        <w:rPr>
          <w:rFonts w:ascii="Times New Roman" w:hAnsi="Times New Roman" w:cs="Times New Roman"/>
          <w:sz w:val="28"/>
          <w:szCs w:val="28"/>
        </w:rPr>
        <w:t>, 8 этап -2024 год</w:t>
      </w:r>
      <w:r w:rsidRPr="00834B1E"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013"/>
        <w:gridCol w:w="1255"/>
        <w:gridCol w:w="412"/>
        <w:gridCol w:w="722"/>
        <w:gridCol w:w="1275"/>
        <w:gridCol w:w="611"/>
        <w:gridCol w:w="913"/>
      </w:tblGrid>
      <w:tr w:rsidR="005D7A44" w:rsidRPr="00F11D2C" w:rsidTr="00B12F81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5D7A44" w:rsidRPr="00F11D2C" w:rsidTr="00B12F81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2A75B1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D7A44">
              <w:rPr>
                <w:rFonts w:ascii="Times New Roman" w:hAnsi="Times New Roman"/>
                <w:sz w:val="18"/>
                <w:szCs w:val="18"/>
              </w:rPr>
              <w:t>одп</w:t>
            </w:r>
            <w:r w:rsidR="005D7A44"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 w:rsidR="005D7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A44">
              <w:rPr>
                <w:rFonts w:ascii="Times New Roman" w:hAnsi="Times New Roman" w:cs="Times New Roman"/>
                <w:bCs/>
              </w:rPr>
              <w:t>«</w:t>
            </w:r>
            <w:r w:rsidR="005D7A44" w:rsidRPr="005D7A44">
              <w:rPr>
                <w:rFonts w:ascii="Times New Roman" w:hAnsi="Times New Roman" w:cs="Times New Roman"/>
                <w:bCs/>
              </w:rPr>
              <w:t xml:space="preserve">Отходы </w:t>
            </w:r>
            <w:r w:rsidR="00420133">
              <w:rPr>
                <w:rFonts w:ascii="Times New Roman" w:hAnsi="Times New Roman" w:cs="Times New Roman"/>
                <w:bCs/>
              </w:rPr>
              <w:t xml:space="preserve">на </w:t>
            </w:r>
            <w:proofErr w:type="gramStart"/>
            <w:r w:rsidR="00420133">
              <w:rPr>
                <w:rFonts w:ascii="Times New Roman" w:hAnsi="Times New Roman" w:cs="Times New Roman"/>
                <w:bCs/>
              </w:rPr>
              <w:t>территории</w:t>
            </w:r>
            <w:proofErr w:type="gramEnd"/>
            <w:r w:rsidR="00420133">
              <w:rPr>
                <w:rFonts w:ascii="Times New Roman" w:hAnsi="Times New Roman" w:cs="Times New Roman"/>
                <w:bCs/>
              </w:rPr>
              <w:t xml:space="preserve"> </w:t>
            </w:r>
            <w:r w:rsidR="005D7A44" w:rsidRPr="005D7A44">
              <w:rPr>
                <w:rFonts w:ascii="Times New Roman" w:hAnsi="Times New Roman" w:cs="Times New Roman"/>
                <w:bCs/>
              </w:rPr>
              <w:t>ЗАТО г</w:t>
            </w:r>
            <w:r w:rsidR="00BE462D">
              <w:rPr>
                <w:rFonts w:ascii="Times New Roman" w:hAnsi="Times New Roman" w:cs="Times New Roman"/>
                <w:bCs/>
              </w:rPr>
              <w:t>. Радужный Владимирской области</w:t>
            </w:r>
            <w:r w:rsidR="005D7A44" w:rsidRPr="005D7A4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013" w:type="dxa"/>
          </w:tcPr>
          <w:p w:rsidR="005D7A44" w:rsidRPr="00F11D2C" w:rsidRDefault="0042013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2017-2024</w:t>
            </w:r>
          </w:p>
        </w:tc>
        <w:tc>
          <w:tcPr>
            <w:tcW w:w="125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D32243" w:rsidRPr="00F11D2C" w:rsidTr="00EF50CE">
        <w:tc>
          <w:tcPr>
            <w:tcW w:w="1101" w:type="dxa"/>
            <w:tcBorders>
              <w:bottom w:val="single" w:sz="4" w:space="0" w:color="000000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D32243" w:rsidRPr="00F11D2C" w:rsidRDefault="0042013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2017-2024</w:t>
            </w:r>
          </w:p>
        </w:tc>
        <w:tc>
          <w:tcPr>
            <w:tcW w:w="1255" w:type="dxa"/>
          </w:tcPr>
          <w:p w:rsidR="00D32243" w:rsidRPr="00F11D2C" w:rsidRDefault="00450789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46 330,83621</w:t>
            </w:r>
          </w:p>
        </w:tc>
        <w:tc>
          <w:tcPr>
            <w:tcW w:w="412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243" w:rsidRPr="00F11D2C" w:rsidRDefault="00450789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46 330,83621</w:t>
            </w:r>
          </w:p>
        </w:tc>
        <w:tc>
          <w:tcPr>
            <w:tcW w:w="611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c>
          <w:tcPr>
            <w:tcW w:w="11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5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55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rPr>
          <w:trHeight w:val="50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5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9 358,74670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Pr="00F11D2C" w:rsidRDefault="00D60CCA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9 358,75</w:t>
            </w:r>
            <w:r w:rsidR="00EF50CE">
              <w:rPr>
                <w:rFonts w:ascii="Times New Roman" w:hAnsi="Times New Roman"/>
                <w:sz w:val="18"/>
                <w:szCs w:val="18"/>
              </w:rPr>
              <w:t>670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19B" w:rsidRPr="00F11D2C" w:rsidTr="00EF50CE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55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6 389,54023</w:t>
            </w:r>
          </w:p>
        </w:tc>
        <w:tc>
          <w:tcPr>
            <w:tcW w:w="41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6 389,54023</w:t>
            </w:r>
          </w:p>
        </w:tc>
        <w:tc>
          <w:tcPr>
            <w:tcW w:w="611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19B" w:rsidRPr="00F11D2C" w:rsidTr="00EF50CE">
        <w:trPr>
          <w:trHeight w:val="532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0619B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55" w:type="dxa"/>
          </w:tcPr>
          <w:p w:rsidR="0060619B" w:rsidRDefault="00450789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5 490,45410</w:t>
            </w:r>
          </w:p>
        </w:tc>
        <w:tc>
          <w:tcPr>
            <w:tcW w:w="41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619B" w:rsidRDefault="00450789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5 490,45410</w:t>
            </w:r>
          </w:p>
        </w:tc>
        <w:tc>
          <w:tcPr>
            <w:tcW w:w="611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19B" w:rsidRPr="00F11D2C" w:rsidTr="00EF50CE">
        <w:trPr>
          <w:trHeight w:val="532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60619B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60619B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5 217,45500</w:t>
            </w: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0619B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5 217,45500</w:t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19B" w:rsidRPr="00F11D2C" w:rsidTr="00420133">
        <w:trPr>
          <w:trHeight w:val="532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0619B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255" w:type="dxa"/>
          </w:tcPr>
          <w:p w:rsidR="0060619B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5 217,45500</w:t>
            </w:r>
          </w:p>
        </w:tc>
        <w:tc>
          <w:tcPr>
            <w:tcW w:w="41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619B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5 217,45500</w:t>
            </w:r>
          </w:p>
        </w:tc>
        <w:tc>
          <w:tcPr>
            <w:tcW w:w="611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0133" w:rsidRPr="00F11D2C" w:rsidTr="00EF50CE">
        <w:trPr>
          <w:trHeight w:val="532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420133" w:rsidRPr="00F11D2C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420133" w:rsidRPr="00F11D2C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420133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420133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5 217,45500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420133" w:rsidRPr="00F11D2C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420133" w:rsidRPr="00F11D2C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0133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5 217,45500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420133" w:rsidRPr="00F11D2C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20133" w:rsidRPr="00F11D2C" w:rsidRDefault="00420133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EF50CE" w:rsidP="00EF50CE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E4EF7"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BE4EF7" w:rsidRPr="00BE4EF7" w:rsidRDefault="00BE4EF7" w:rsidP="00F36B95">
      <w:pPr>
        <w:pStyle w:val="ConsNormal"/>
        <w:ind w:right="0" w:firstLine="0"/>
        <w:rPr>
          <w:rFonts w:ascii="Times New Roman" w:hAnsi="Times New Roman" w:cs="Times New Roman"/>
          <w:bCs/>
          <w:sz w:val="28"/>
          <w:szCs w:val="28"/>
        </w:rPr>
      </w:pPr>
      <w:r w:rsidRPr="00BE4EF7">
        <w:rPr>
          <w:rFonts w:ascii="Times New Roman" w:hAnsi="Times New Roman" w:cs="Times New Roman"/>
          <w:bCs/>
          <w:sz w:val="28"/>
          <w:szCs w:val="28"/>
        </w:rPr>
        <w:t>Мероприятия подпро</w:t>
      </w:r>
      <w:r w:rsidR="00F36B95">
        <w:rPr>
          <w:rFonts w:ascii="Times New Roman" w:hAnsi="Times New Roman" w:cs="Times New Roman"/>
          <w:bCs/>
          <w:sz w:val="28"/>
          <w:szCs w:val="28"/>
        </w:rPr>
        <w:t xml:space="preserve">граммы определены в приложении </w:t>
      </w:r>
      <w:r w:rsidRPr="00BE4EF7">
        <w:rPr>
          <w:rFonts w:ascii="Times New Roman" w:hAnsi="Times New Roman" w:cs="Times New Roman"/>
          <w:bCs/>
          <w:sz w:val="28"/>
          <w:szCs w:val="28"/>
        </w:rPr>
        <w:t>подпрограммы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6B95" w:rsidRDefault="00F36B95" w:rsidP="0032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CE" w:rsidRDefault="00EF50CE" w:rsidP="00023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CE" w:rsidRDefault="00EF50CE" w:rsidP="00023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Pr="00B23DE1" w:rsidRDefault="00B23DE1" w:rsidP="00EF5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ГКМХ»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В. А. Попов</w:t>
      </w:r>
    </w:p>
    <w:sectPr w:rsidR="00C30EB5" w:rsidRPr="00B23DE1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9F" w:rsidRDefault="0029269F" w:rsidP="00BE53C0">
      <w:pPr>
        <w:spacing w:after="0" w:line="240" w:lineRule="auto"/>
      </w:pPr>
      <w:r>
        <w:separator/>
      </w:r>
    </w:p>
  </w:endnote>
  <w:endnote w:type="continuationSeparator" w:id="0">
    <w:p w:rsidR="0029269F" w:rsidRDefault="0029269F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40864"/>
      <w:docPartObj>
        <w:docPartGallery w:val="Page Numbers (Bottom of Page)"/>
        <w:docPartUnique/>
      </w:docPartObj>
    </w:sdtPr>
    <w:sdtEndPr/>
    <w:sdtContent>
      <w:p w:rsidR="00243C6B" w:rsidRDefault="00243C6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558">
          <w:rPr>
            <w:noProof/>
          </w:rPr>
          <w:t>22</w:t>
        </w:r>
        <w:r>
          <w:fldChar w:fldCharType="end"/>
        </w:r>
      </w:p>
    </w:sdtContent>
  </w:sdt>
  <w:p w:rsidR="00243C6B" w:rsidRDefault="00243C6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9F" w:rsidRDefault="0029269F" w:rsidP="00BE53C0">
      <w:pPr>
        <w:spacing w:after="0" w:line="240" w:lineRule="auto"/>
      </w:pPr>
      <w:r>
        <w:separator/>
      </w:r>
    </w:p>
  </w:footnote>
  <w:footnote w:type="continuationSeparator" w:id="0">
    <w:p w:rsidR="0029269F" w:rsidRDefault="0029269F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B0"/>
    <w:rsid w:val="00002157"/>
    <w:rsid w:val="00005A5E"/>
    <w:rsid w:val="00013026"/>
    <w:rsid w:val="0001383D"/>
    <w:rsid w:val="00013DE5"/>
    <w:rsid w:val="000148E5"/>
    <w:rsid w:val="00015F49"/>
    <w:rsid w:val="00022438"/>
    <w:rsid w:val="000236E5"/>
    <w:rsid w:val="00023710"/>
    <w:rsid w:val="00032794"/>
    <w:rsid w:val="00034406"/>
    <w:rsid w:val="00037638"/>
    <w:rsid w:val="00037CCC"/>
    <w:rsid w:val="00047E81"/>
    <w:rsid w:val="00053431"/>
    <w:rsid w:val="00055228"/>
    <w:rsid w:val="0005726F"/>
    <w:rsid w:val="00064625"/>
    <w:rsid w:val="00065064"/>
    <w:rsid w:val="00065E62"/>
    <w:rsid w:val="00067BCD"/>
    <w:rsid w:val="00074C69"/>
    <w:rsid w:val="0008096B"/>
    <w:rsid w:val="00091414"/>
    <w:rsid w:val="0009336F"/>
    <w:rsid w:val="00095F2D"/>
    <w:rsid w:val="000A07D8"/>
    <w:rsid w:val="000A4D83"/>
    <w:rsid w:val="000A5A30"/>
    <w:rsid w:val="000C1BFC"/>
    <w:rsid w:val="000C538C"/>
    <w:rsid w:val="000C7735"/>
    <w:rsid w:val="000E1580"/>
    <w:rsid w:val="000F0161"/>
    <w:rsid w:val="000F716C"/>
    <w:rsid w:val="00103C16"/>
    <w:rsid w:val="00110FA9"/>
    <w:rsid w:val="00111F0F"/>
    <w:rsid w:val="001136CB"/>
    <w:rsid w:val="00121073"/>
    <w:rsid w:val="0012304B"/>
    <w:rsid w:val="00130DED"/>
    <w:rsid w:val="001406DF"/>
    <w:rsid w:val="00143AAE"/>
    <w:rsid w:val="00151A02"/>
    <w:rsid w:val="00155E07"/>
    <w:rsid w:val="00160B02"/>
    <w:rsid w:val="001632B1"/>
    <w:rsid w:val="00171F93"/>
    <w:rsid w:val="00174867"/>
    <w:rsid w:val="00175EDD"/>
    <w:rsid w:val="00176476"/>
    <w:rsid w:val="00192E6B"/>
    <w:rsid w:val="00197F1D"/>
    <w:rsid w:val="001A1A20"/>
    <w:rsid w:val="001A47DD"/>
    <w:rsid w:val="001B0D2F"/>
    <w:rsid w:val="001B1503"/>
    <w:rsid w:val="001B17D7"/>
    <w:rsid w:val="001B457B"/>
    <w:rsid w:val="001B7C94"/>
    <w:rsid w:val="001C08EB"/>
    <w:rsid w:val="001C3720"/>
    <w:rsid w:val="001C48BB"/>
    <w:rsid w:val="001D53C0"/>
    <w:rsid w:val="001D7455"/>
    <w:rsid w:val="001E2C14"/>
    <w:rsid w:val="001F144B"/>
    <w:rsid w:val="001F2B26"/>
    <w:rsid w:val="001F2D6B"/>
    <w:rsid w:val="001F3481"/>
    <w:rsid w:val="001F4658"/>
    <w:rsid w:val="001F7C5F"/>
    <w:rsid w:val="001F7E69"/>
    <w:rsid w:val="00203F11"/>
    <w:rsid w:val="00204B3B"/>
    <w:rsid w:val="00207524"/>
    <w:rsid w:val="002111A4"/>
    <w:rsid w:val="00211C73"/>
    <w:rsid w:val="00213EC8"/>
    <w:rsid w:val="00216E42"/>
    <w:rsid w:val="00221901"/>
    <w:rsid w:val="002269FC"/>
    <w:rsid w:val="002368D1"/>
    <w:rsid w:val="00240187"/>
    <w:rsid w:val="00242D4F"/>
    <w:rsid w:val="00243C6B"/>
    <w:rsid w:val="00243CE6"/>
    <w:rsid w:val="00252DB7"/>
    <w:rsid w:val="00253D3A"/>
    <w:rsid w:val="00257606"/>
    <w:rsid w:val="00260CD0"/>
    <w:rsid w:val="002722EB"/>
    <w:rsid w:val="002729E1"/>
    <w:rsid w:val="00273544"/>
    <w:rsid w:val="0029269F"/>
    <w:rsid w:val="00292A85"/>
    <w:rsid w:val="002941FD"/>
    <w:rsid w:val="0029605A"/>
    <w:rsid w:val="002A38DF"/>
    <w:rsid w:val="002A6AFA"/>
    <w:rsid w:val="002A75B1"/>
    <w:rsid w:val="002B1193"/>
    <w:rsid w:val="002B17CD"/>
    <w:rsid w:val="002C6137"/>
    <w:rsid w:val="002D2BD2"/>
    <w:rsid w:val="002D7F57"/>
    <w:rsid w:val="002E309E"/>
    <w:rsid w:val="00300E00"/>
    <w:rsid w:val="0030340A"/>
    <w:rsid w:val="00306B47"/>
    <w:rsid w:val="00312466"/>
    <w:rsid w:val="00314558"/>
    <w:rsid w:val="0032082B"/>
    <w:rsid w:val="00324E95"/>
    <w:rsid w:val="00330196"/>
    <w:rsid w:val="00345F27"/>
    <w:rsid w:val="00352284"/>
    <w:rsid w:val="00361EE1"/>
    <w:rsid w:val="0037513C"/>
    <w:rsid w:val="0038120C"/>
    <w:rsid w:val="00381CBA"/>
    <w:rsid w:val="00381E06"/>
    <w:rsid w:val="0038599B"/>
    <w:rsid w:val="003924BB"/>
    <w:rsid w:val="003B11A7"/>
    <w:rsid w:val="003B4BD6"/>
    <w:rsid w:val="003B4E24"/>
    <w:rsid w:val="003C2488"/>
    <w:rsid w:val="003C4BF3"/>
    <w:rsid w:val="003D2385"/>
    <w:rsid w:val="003D3EC9"/>
    <w:rsid w:val="003F339B"/>
    <w:rsid w:val="00420133"/>
    <w:rsid w:val="00430504"/>
    <w:rsid w:val="00431158"/>
    <w:rsid w:val="004438C7"/>
    <w:rsid w:val="00450789"/>
    <w:rsid w:val="0045564B"/>
    <w:rsid w:val="00456AC3"/>
    <w:rsid w:val="00457696"/>
    <w:rsid w:val="00457950"/>
    <w:rsid w:val="00462FCE"/>
    <w:rsid w:val="00471641"/>
    <w:rsid w:val="00471817"/>
    <w:rsid w:val="00476C03"/>
    <w:rsid w:val="00481228"/>
    <w:rsid w:val="00484DED"/>
    <w:rsid w:val="00484FAC"/>
    <w:rsid w:val="00486C06"/>
    <w:rsid w:val="00491D6D"/>
    <w:rsid w:val="00492C41"/>
    <w:rsid w:val="004942E4"/>
    <w:rsid w:val="004A3B99"/>
    <w:rsid w:val="004B5F72"/>
    <w:rsid w:val="004C1EB7"/>
    <w:rsid w:val="004E13F8"/>
    <w:rsid w:val="004E74E6"/>
    <w:rsid w:val="004F00DC"/>
    <w:rsid w:val="00503125"/>
    <w:rsid w:val="00503EA8"/>
    <w:rsid w:val="005112CB"/>
    <w:rsid w:val="00511C98"/>
    <w:rsid w:val="0051431C"/>
    <w:rsid w:val="00514594"/>
    <w:rsid w:val="00516AF7"/>
    <w:rsid w:val="00517000"/>
    <w:rsid w:val="00532598"/>
    <w:rsid w:val="00550E2D"/>
    <w:rsid w:val="00554303"/>
    <w:rsid w:val="00555403"/>
    <w:rsid w:val="00555502"/>
    <w:rsid w:val="00563340"/>
    <w:rsid w:val="0056454A"/>
    <w:rsid w:val="00567BB4"/>
    <w:rsid w:val="00572A90"/>
    <w:rsid w:val="00573583"/>
    <w:rsid w:val="005750C6"/>
    <w:rsid w:val="005821F0"/>
    <w:rsid w:val="00594FFF"/>
    <w:rsid w:val="00595850"/>
    <w:rsid w:val="005A0DFC"/>
    <w:rsid w:val="005A2B59"/>
    <w:rsid w:val="005A5B96"/>
    <w:rsid w:val="005B432C"/>
    <w:rsid w:val="005B66DD"/>
    <w:rsid w:val="005B7C1B"/>
    <w:rsid w:val="005C4102"/>
    <w:rsid w:val="005C43B3"/>
    <w:rsid w:val="005C7ED4"/>
    <w:rsid w:val="005D12D8"/>
    <w:rsid w:val="005D7A44"/>
    <w:rsid w:val="005E3AD3"/>
    <w:rsid w:val="005E44FE"/>
    <w:rsid w:val="005E6C0A"/>
    <w:rsid w:val="005F3364"/>
    <w:rsid w:val="0060349D"/>
    <w:rsid w:val="00603940"/>
    <w:rsid w:val="0060619B"/>
    <w:rsid w:val="0061508C"/>
    <w:rsid w:val="00623EB0"/>
    <w:rsid w:val="006312F0"/>
    <w:rsid w:val="00632D97"/>
    <w:rsid w:val="00640532"/>
    <w:rsid w:val="006476E2"/>
    <w:rsid w:val="00652C3D"/>
    <w:rsid w:val="00663830"/>
    <w:rsid w:val="006854BC"/>
    <w:rsid w:val="006914B9"/>
    <w:rsid w:val="0069472B"/>
    <w:rsid w:val="006A287B"/>
    <w:rsid w:val="006A2CA9"/>
    <w:rsid w:val="006B0FDB"/>
    <w:rsid w:val="006B28D8"/>
    <w:rsid w:val="006C0AC7"/>
    <w:rsid w:val="006C357D"/>
    <w:rsid w:val="006D12DE"/>
    <w:rsid w:val="006D5682"/>
    <w:rsid w:val="006E2F0C"/>
    <w:rsid w:val="006F7E86"/>
    <w:rsid w:val="007205C0"/>
    <w:rsid w:val="007206F0"/>
    <w:rsid w:val="00724F22"/>
    <w:rsid w:val="00727DEC"/>
    <w:rsid w:val="007308F3"/>
    <w:rsid w:val="00731083"/>
    <w:rsid w:val="007347A7"/>
    <w:rsid w:val="00747D01"/>
    <w:rsid w:val="00752AB5"/>
    <w:rsid w:val="0076056C"/>
    <w:rsid w:val="00760850"/>
    <w:rsid w:val="007736D9"/>
    <w:rsid w:val="00774E8D"/>
    <w:rsid w:val="00784B4F"/>
    <w:rsid w:val="0078694F"/>
    <w:rsid w:val="00790DA8"/>
    <w:rsid w:val="007A47D5"/>
    <w:rsid w:val="007A63C5"/>
    <w:rsid w:val="007A6DB7"/>
    <w:rsid w:val="007A78C4"/>
    <w:rsid w:val="007A7C60"/>
    <w:rsid w:val="007B1F97"/>
    <w:rsid w:val="007B3846"/>
    <w:rsid w:val="007E6592"/>
    <w:rsid w:val="007F2E79"/>
    <w:rsid w:val="007F36F9"/>
    <w:rsid w:val="00827E2E"/>
    <w:rsid w:val="008344AB"/>
    <w:rsid w:val="00834B1E"/>
    <w:rsid w:val="008374BD"/>
    <w:rsid w:val="008377B4"/>
    <w:rsid w:val="008416DE"/>
    <w:rsid w:val="0084202C"/>
    <w:rsid w:val="00844213"/>
    <w:rsid w:val="00846AA6"/>
    <w:rsid w:val="00855726"/>
    <w:rsid w:val="00855E03"/>
    <w:rsid w:val="0086113A"/>
    <w:rsid w:val="00861EC1"/>
    <w:rsid w:val="00867362"/>
    <w:rsid w:val="00871001"/>
    <w:rsid w:val="00876145"/>
    <w:rsid w:val="00880093"/>
    <w:rsid w:val="00882011"/>
    <w:rsid w:val="00884300"/>
    <w:rsid w:val="008906FC"/>
    <w:rsid w:val="008940B3"/>
    <w:rsid w:val="00894849"/>
    <w:rsid w:val="008A1B8C"/>
    <w:rsid w:val="008A75E4"/>
    <w:rsid w:val="008C3CDD"/>
    <w:rsid w:val="008D198B"/>
    <w:rsid w:val="008D5294"/>
    <w:rsid w:val="008E4C00"/>
    <w:rsid w:val="008E4ED1"/>
    <w:rsid w:val="008F4D9F"/>
    <w:rsid w:val="00905DA2"/>
    <w:rsid w:val="00915AC1"/>
    <w:rsid w:val="00916751"/>
    <w:rsid w:val="009239BC"/>
    <w:rsid w:val="00933325"/>
    <w:rsid w:val="00933BAE"/>
    <w:rsid w:val="00935BE6"/>
    <w:rsid w:val="00941BB6"/>
    <w:rsid w:val="0094533D"/>
    <w:rsid w:val="00946C6C"/>
    <w:rsid w:val="00971BE6"/>
    <w:rsid w:val="009756C4"/>
    <w:rsid w:val="00985093"/>
    <w:rsid w:val="0099436F"/>
    <w:rsid w:val="0099771F"/>
    <w:rsid w:val="009A69DE"/>
    <w:rsid w:val="009A7E77"/>
    <w:rsid w:val="009B6527"/>
    <w:rsid w:val="009C56C2"/>
    <w:rsid w:val="009C7C73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3D69"/>
    <w:rsid w:val="00A14FB4"/>
    <w:rsid w:val="00A347C3"/>
    <w:rsid w:val="00A35B4D"/>
    <w:rsid w:val="00A61C41"/>
    <w:rsid w:val="00A61D29"/>
    <w:rsid w:val="00A67570"/>
    <w:rsid w:val="00A72D7B"/>
    <w:rsid w:val="00A75C76"/>
    <w:rsid w:val="00A85FEC"/>
    <w:rsid w:val="00A97DCB"/>
    <w:rsid w:val="00AA503B"/>
    <w:rsid w:val="00AA614C"/>
    <w:rsid w:val="00AB37A9"/>
    <w:rsid w:val="00AB6D8D"/>
    <w:rsid w:val="00AC07E9"/>
    <w:rsid w:val="00AC246C"/>
    <w:rsid w:val="00AC26BA"/>
    <w:rsid w:val="00AC3579"/>
    <w:rsid w:val="00AD2733"/>
    <w:rsid w:val="00AE3D21"/>
    <w:rsid w:val="00AE7853"/>
    <w:rsid w:val="00AE7C26"/>
    <w:rsid w:val="00AF550B"/>
    <w:rsid w:val="00AF62F1"/>
    <w:rsid w:val="00AF75FD"/>
    <w:rsid w:val="00AF767A"/>
    <w:rsid w:val="00B12F81"/>
    <w:rsid w:val="00B20499"/>
    <w:rsid w:val="00B20F9D"/>
    <w:rsid w:val="00B211D6"/>
    <w:rsid w:val="00B23DE1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73BAD"/>
    <w:rsid w:val="00B80BC8"/>
    <w:rsid w:val="00B93766"/>
    <w:rsid w:val="00B94175"/>
    <w:rsid w:val="00BA48C7"/>
    <w:rsid w:val="00BD512D"/>
    <w:rsid w:val="00BE462D"/>
    <w:rsid w:val="00BE4EF7"/>
    <w:rsid w:val="00BE53C0"/>
    <w:rsid w:val="00C02B02"/>
    <w:rsid w:val="00C02D05"/>
    <w:rsid w:val="00C06083"/>
    <w:rsid w:val="00C227E2"/>
    <w:rsid w:val="00C242E3"/>
    <w:rsid w:val="00C27B09"/>
    <w:rsid w:val="00C30EB5"/>
    <w:rsid w:val="00C525BC"/>
    <w:rsid w:val="00C55258"/>
    <w:rsid w:val="00C55A06"/>
    <w:rsid w:val="00C740D1"/>
    <w:rsid w:val="00C7733A"/>
    <w:rsid w:val="00C94B90"/>
    <w:rsid w:val="00CA03D0"/>
    <w:rsid w:val="00CA3298"/>
    <w:rsid w:val="00CA563D"/>
    <w:rsid w:val="00CA632A"/>
    <w:rsid w:val="00CB0802"/>
    <w:rsid w:val="00CB0BF6"/>
    <w:rsid w:val="00CB6026"/>
    <w:rsid w:val="00CB6630"/>
    <w:rsid w:val="00CC3B10"/>
    <w:rsid w:val="00CC49F9"/>
    <w:rsid w:val="00CC6771"/>
    <w:rsid w:val="00CD3FEC"/>
    <w:rsid w:val="00CE36B5"/>
    <w:rsid w:val="00CE5423"/>
    <w:rsid w:val="00CE79C1"/>
    <w:rsid w:val="00CF0B12"/>
    <w:rsid w:val="00CF792E"/>
    <w:rsid w:val="00D05706"/>
    <w:rsid w:val="00D05B82"/>
    <w:rsid w:val="00D13A18"/>
    <w:rsid w:val="00D20D2D"/>
    <w:rsid w:val="00D23007"/>
    <w:rsid w:val="00D2324F"/>
    <w:rsid w:val="00D24102"/>
    <w:rsid w:val="00D3056F"/>
    <w:rsid w:val="00D32243"/>
    <w:rsid w:val="00D511B5"/>
    <w:rsid w:val="00D5153D"/>
    <w:rsid w:val="00D60CCA"/>
    <w:rsid w:val="00D63DE9"/>
    <w:rsid w:val="00D64AFB"/>
    <w:rsid w:val="00D72C07"/>
    <w:rsid w:val="00D80D7F"/>
    <w:rsid w:val="00D910AF"/>
    <w:rsid w:val="00D92ED2"/>
    <w:rsid w:val="00DA0858"/>
    <w:rsid w:val="00DA4031"/>
    <w:rsid w:val="00DB328D"/>
    <w:rsid w:val="00DB3EB1"/>
    <w:rsid w:val="00DC0EFC"/>
    <w:rsid w:val="00DC1BD6"/>
    <w:rsid w:val="00DE7457"/>
    <w:rsid w:val="00DF1673"/>
    <w:rsid w:val="00DF5075"/>
    <w:rsid w:val="00E02AC4"/>
    <w:rsid w:val="00E056DF"/>
    <w:rsid w:val="00E06416"/>
    <w:rsid w:val="00E14C99"/>
    <w:rsid w:val="00E2084E"/>
    <w:rsid w:val="00E214E3"/>
    <w:rsid w:val="00E57CF7"/>
    <w:rsid w:val="00E63B95"/>
    <w:rsid w:val="00E63F8A"/>
    <w:rsid w:val="00E66B3E"/>
    <w:rsid w:val="00E7070A"/>
    <w:rsid w:val="00E758D2"/>
    <w:rsid w:val="00E76EE1"/>
    <w:rsid w:val="00E77265"/>
    <w:rsid w:val="00E77BD6"/>
    <w:rsid w:val="00E9108E"/>
    <w:rsid w:val="00E926A5"/>
    <w:rsid w:val="00E928AD"/>
    <w:rsid w:val="00EB04A1"/>
    <w:rsid w:val="00EB2BA5"/>
    <w:rsid w:val="00EB3143"/>
    <w:rsid w:val="00ED007D"/>
    <w:rsid w:val="00ED3462"/>
    <w:rsid w:val="00EE2D05"/>
    <w:rsid w:val="00EF4830"/>
    <w:rsid w:val="00EF50CE"/>
    <w:rsid w:val="00F050D8"/>
    <w:rsid w:val="00F11821"/>
    <w:rsid w:val="00F13B2F"/>
    <w:rsid w:val="00F17FEE"/>
    <w:rsid w:val="00F204D4"/>
    <w:rsid w:val="00F20D4A"/>
    <w:rsid w:val="00F27651"/>
    <w:rsid w:val="00F33946"/>
    <w:rsid w:val="00F36B95"/>
    <w:rsid w:val="00F41363"/>
    <w:rsid w:val="00F55100"/>
    <w:rsid w:val="00F674D6"/>
    <w:rsid w:val="00F77352"/>
    <w:rsid w:val="00F819F8"/>
    <w:rsid w:val="00F97468"/>
    <w:rsid w:val="00FA16E6"/>
    <w:rsid w:val="00FA6E19"/>
    <w:rsid w:val="00FA729D"/>
    <w:rsid w:val="00FB0E4A"/>
    <w:rsid w:val="00FC7BB6"/>
    <w:rsid w:val="00FD559F"/>
    <w:rsid w:val="00FE05B3"/>
    <w:rsid w:val="00FE7385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6E1B9A-5F90-4B10-99E4-058EC1B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  <w:style w:type="paragraph" w:customStyle="1" w:styleId="1">
    <w:name w:val="Текст1"/>
    <w:basedOn w:val="a"/>
    <w:rsid w:val="00567BB4"/>
    <w:pPr>
      <w:suppressAutoHyphens/>
      <w:autoSpaceDE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annotation reference"/>
    <w:basedOn w:val="a0"/>
    <w:uiPriority w:val="99"/>
    <w:semiHidden/>
    <w:unhideWhenUsed/>
    <w:rsid w:val="0033019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3019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30196"/>
    <w:rPr>
      <w:rFonts w:cs="Calibri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019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019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1753-B2A1-49C4-9FC9-BA8F7387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5940</Words>
  <Characters>33861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39722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6</cp:revision>
  <cp:lastPrinted>2021-09-21T06:43:00Z</cp:lastPrinted>
  <dcterms:created xsi:type="dcterms:W3CDTF">2021-09-20T12:15:00Z</dcterms:created>
  <dcterms:modified xsi:type="dcterms:W3CDTF">2021-10-15T05:29:00Z</dcterms:modified>
</cp:coreProperties>
</file>