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720"/>
        <w:jc w:val="center"/>
        <w:rPr>
          <w:shd w:fill="auto" w:val="clear"/>
        </w:rPr>
      </w:pPr>
      <w:r>
        <w:rPr>
          <w:b/>
          <w:sz w:val="27"/>
          <w:szCs w:val="27"/>
          <w:shd w:fill="auto" w:val="clear"/>
        </w:rPr>
        <w:t>Основные социально-экономические показатели развития ЗАТО г. Радужный Владимирской области за 202</w:t>
      </w:r>
      <w:r>
        <w:rPr>
          <w:rFonts w:eastAsia="Times New Roman" w:cs="Times New Roman"/>
          <w:b/>
          <w:color w:val="000000"/>
          <w:kern w:val="0"/>
          <w:sz w:val="27"/>
          <w:szCs w:val="27"/>
          <w:shd w:fill="auto" w:val="clear"/>
          <w:lang w:val="ru-RU" w:eastAsia="ru-RU" w:bidi="ar-SA"/>
        </w:rPr>
        <w:t>5</w:t>
      </w:r>
      <w:r>
        <w:rPr>
          <w:b/>
          <w:sz w:val="27"/>
          <w:szCs w:val="27"/>
          <w:shd w:fill="auto" w:val="clear"/>
        </w:rPr>
        <w:t xml:space="preserve"> года.</w:t>
      </w:r>
    </w:p>
    <w:p>
      <w:pPr>
        <w:pStyle w:val="Normal"/>
        <w:ind w:left="0" w:right="0" w:firstLine="720"/>
        <w:jc w:val="center"/>
        <w:rPr>
          <w:b/>
          <w:b/>
          <w:sz w:val="27"/>
          <w:szCs w:val="27"/>
          <w:shd w:fill="auto" w:val="clear"/>
        </w:rPr>
      </w:pPr>
      <w:r>
        <w:rPr>
          <w:b/>
          <w:sz w:val="27"/>
          <w:szCs w:val="27"/>
          <w:shd w:fill="auto" w:val="clear"/>
        </w:rPr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Ч</w:t>
      </w:r>
      <w:r>
        <w:rPr>
          <w:sz w:val="28"/>
          <w:szCs w:val="28"/>
          <w:shd w:fill="auto" w:val="clear"/>
        </w:rPr>
        <w:t>исленность населения ЗАТО г. Радужный Владимирской области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 года по данным статистики составляет 17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478 </w:t>
      </w:r>
      <w:r>
        <w:rPr>
          <w:sz w:val="28"/>
          <w:szCs w:val="28"/>
          <w:shd w:fill="auto" w:val="clear"/>
        </w:rPr>
        <w:t xml:space="preserve">человека, в т.ч.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</w:t>
      </w:r>
      <w:r>
        <w:rPr>
          <w:sz w:val="28"/>
          <w:szCs w:val="28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200</w:t>
      </w:r>
      <w:r>
        <w:rPr>
          <w:sz w:val="28"/>
          <w:szCs w:val="28"/>
          <w:shd w:fill="auto" w:val="clear"/>
        </w:rPr>
        <w:t> человека трудоспособного возраста.</w:t>
      </w:r>
    </w:p>
    <w:p>
      <w:pPr>
        <w:pStyle w:val="Normal"/>
        <w:ind w:left="0" w:right="0" w:firstLine="720"/>
        <w:jc w:val="both"/>
        <w:rPr/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К </w:t>
      </w:r>
      <w:r>
        <w:rPr>
          <w:rFonts w:eastAsia="Times New Roman" w:cs="Times New Roman"/>
          <w:bCs/>
          <w:sz w:val="28"/>
          <w:szCs w:val="28"/>
          <w:shd w:fill="auto" w:val="clear"/>
          <w:lang w:eastAsia="ru-RU"/>
        </w:rPr>
        <w:t xml:space="preserve">ведущим предприятиям города относятся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Федеральное казенное предприятие «Государственный лазерный полигон «Радуга»,</w:t>
      </w:r>
      <w:r>
        <w:rPr>
          <w:rFonts w:eastAsia="Times New Roman" w:cs="Times New Roman"/>
          <w:b/>
          <w:sz w:val="28"/>
          <w:szCs w:val="28"/>
          <w:shd w:fill="auto" w:val="clear"/>
          <w:lang w:eastAsia="ru-RU"/>
        </w:rPr>
        <w:t xml:space="preserve"> </w:t>
      </w:r>
      <w:r>
        <w:rPr>
          <w:rStyle w:val="Strong"/>
          <w:rFonts w:eastAsia="Times New Roman" w:cs="Times New Roman"/>
          <w:b w:val="false"/>
          <w:sz w:val="28"/>
          <w:szCs w:val="28"/>
          <w:shd w:fill="auto" w:val="clear"/>
          <w:lang w:eastAsia="ru-RU"/>
        </w:rPr>
        <w:t>ООО «Владимирский стандарт», ЗАО «Радугаэнерго», ООО "Орион-Р", ООО "Радугаприбор".</w:t>
      </w:r>
    </w:p>
    <w:p>
      <w:pPr>
        <w:pStyle w:val="Normal"/>
        <w:ind w:left="0" w:right="0" w:firstLine="720"/>
        <w:jc w:val="both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ind w:left="0" w:right="0" w:firstLine="720"/>
        <w:jc w:val="both"/>
        <w:rPr/>
      </w:pPr>
      <w:r>
        <w:rPr>
          <w:b/>
          <w:i/>
          <w:sz w:val="28"/>
          <w:szCs w:val="28"/>
          <w:shd w:fill="auto" w:val="clear"/>
        </w:rPr>
        <w:t>Объем отгруженных</w:t>
      </w:r>
      <w:r>
        <w:rPr>
          <w:rFonts w:eastAsia="Times New Roman" w:cs="Times New Roman"/>
          <w:b w:val="false"/>
          <w:bCs w:val="false"/>
          <w:i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товаров собственного производства без субъектов малого предпринимательства за 202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5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 к аналогичному периоду прошлого года, по видам экономической деятельности составил: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- обрабатывающие производства – 91,2% (20 328 млн.руб.; в 2024 г. - 22 287);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- производство пищевых продуктов – 94%;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- производство химических веществ и химических продуктов — 135,6%;</w:t>
      </w:r>
    </w:p>
    <w:p>
      <w:pPr>
        <w:pStyle w:val="Style25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 производство и распределение электроэнергии, газа и воды – 135,9 %;</w:t>
      </w:r>
    </w:p>
    <w:p>
      <w:pPr>
        <w:pStyle w:val="Style25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 производство прочих готовых изделий – 106,7%;</w:t>
      </w:r>
    </w:p>
    <w:p>
      <w:pPr>
        <w:pStyle w:val="Style25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- водоснабжение, водоотведения, организация сбора и утилизация отходов, деятельность по ликвидации загрязнений – 109,5 %.</w:t>
      </w:r>
    </w:p>
    <w:p>
      <w:pPr>
        <w:pStyle w:val="Normal"/>
        <w:spacing w:before="0" w:after="0"/>
        <w:ind w:left="0" w:right="0" w:firstLine="709"/>
        <w:contextualSpacing/>
        <w:jc w:val="both"/>
        <w:rPr>
          <w:rStyle w:val="Strong"/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</w:r>
    </w:p>
    <w:p>
      <w:pPr>
        <w:pStyle w:val="Normal"/>
        <w:ind w:left="0" w:right="0" w:firstLine="851"/>
        <w:jc w:val="both"/>
        <w:rPr>
          <w:shd w:fill="auto" w:val="clear"/>
        </w:rPr>
      </w:pPr>
      <w:r>
        <w:rPr>
          <w:b/>
          <w:sz w:val="27"/>
          <w:szCs w:val="27"/>
          <w:shd w:fill="auto" w:val="clear"/>
        </w:rPr>
        <w:t>Строительство.</w:t>
      </w:r>
      <w:r>
        <w:rPr>
          <w:sz w:val="27"/>
          <w:szCs w:val="27"/>
          <w:shd w:fill="auto" w:val="clear"/>
        </w:rPr>
        <w:t xml:space="preserve"> </w:t>
      </w:r>
      <w:r>
        <w:rPr>
          <w:rFonts w:cs="Times New Roman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cs="Times New Roman"/>
          <w:sz w:val="28"/>
          <w:szCs w:val="28"/>
          <w:shd w:fill="auto" w:val="clear"/>
        </w:rPr>
        <w:t xml:space="preserve"> году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за счет собственных и заемных средств населения введено в действие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8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индивидуальны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й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жил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ых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домов  общей площадью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333</w:t>
      </w:r>
      <w:r>
        <w:rPr>
          <w:rFonts w:cs="Times New Roman"/>
          <w:color w:val="000000"/>
          <w:sz w:val="28"/>
          <w:szCs w:val="28"/>
          <w:shd w:fill="auto" w:val="clear"/>
        </w:rPr>
        <w:t> м²</w:t>
      </w:r>
      <w:r>
        <w:rPr>
          <w:rFonts w:cs="Times New Roman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В 2025 г. за счет собственных и заемных средств предприятий и индивидуальных предпринимателей введено в действие 6,64 тыс. м² производственных площадей, что на 46 % больше показателя 2024 г.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Продолжается реализация инвестиционного проекта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по расширению производства ООО Фирма «БиоХимФарм», строительству лабораторного корпуса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7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 модернизации участка инъекционных препаратов. </w:t>
      </w:r>
    </w:p>
    <w:p>
      <w:pPr>
        <w:pStyle w:val="Normal"/>
        <w:ind w:left="0" w:right="0" w:firstLine="720"/>
        <w:jc w:val="both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left="0" w:right="0" w:firstLine="720"/>
        <w:jc w:val="both"/>
        <w:rPr/>
      </w:pPr>
      <w:r>
        <w:rPr>
          <w:b/>
          <w:sz w:val="28"/>
          <w:szCs w:val="28"/>
          <w:shd w:fill="auto" w:val="clear"/>
        </w:rPr>
        <w:t>Рынок труда.</w:t>
      </w:r>
      <w:r>
        <w:rPr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 </w:t>
      </w:r>
      <w:r>
        <w:rPr>
          <w:rStyle w:val="Style15"/>
          <w:b w:val="false"/>
          <w:bCs w:val="false"/>
          <w:i w:val="false"/>
          <w:iCs w:val="false"/>
          <w:sz w:val="28"/>
          <w:szCs w:val="28"/>
          <w:shd w:fill="auto" w:val="clear"/>
        </w:rPr>
        <w:t>За отчетный период зарегистрирован </w:t>
      </w:r>
      <w:r>
        <w:rPr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 низкий уровень безработицы как и в прошлом году</w:t>
      </w:r>
      <w:r>
        <w:rPr>
          <w:b/>
          <w:i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- </w:t>
      </w:r>
      <w:r>
        <w:rPr>
          <w:sz w:val="28"/>
          <w:szCs w:val="28"/>
          <w:shd w:fill="auto" w:val="clear"/>
        </w:rPr>
        <w:t>0,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sz w:val="28"/>
          <w:szCs w:val="28"/>
          <w:shd w:fill="auto" w:val="clear"/>
        </w:rPr>
        <w:t xml:space="preserve">% от численности трудоспособного населения. В Центр занятости в течение года обратилось в поиске подходящей работы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311</w:t>
      </w:r>
      <w:r>
        <w:rPr>
          <w:sz w:val="28"/>
          <w:szCs w:val="28"/>
          <w:shd w:fill="auto" w:val="clear"/>
        </w:rPr>
        <w:t xml:space="preserve"> человек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 г. - 1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93</w:t>
      </w:r>
      <w:r>
        <w:rPr>
          <w:sz w:val="28"/>
          <w:szCs w:val="28"/>
          <w:shd w:fill="auto" w:val="clear"/>
        </w:rPr>
        <w:t>), трудоустроено 1</w:t>
      </w:r>
      <w:r>
        <w:rPr>
          <w:rFonts w:eastAsia="Times New Roman" w:cs="Calibri"/>
          <w:color w:val="000000"/>
          <w:kern w:val="0"/>
          <w:sz w:val="28"/>
          <w:szCs w:val="28"/>
          <w:shd w:fill="auto" w:val="clear"/>
          <w:lang w:val="ru-RU" w:eastAsia="en-US" w:bidi="ar-SA"/>
        </w:rPr>
        <w:t>95</w:t>
      </w:r>
      <w:r>
        <w:rPr>
          <w:sz w:val="28"/>
          <w:szCs w:val="28"/>
          <w:shd w:fill="auto" w:val="clear"/>
        </w:rPr>
        <w:t xml:space="preserve"> человек. На 01.01.202</w:t>
      </w:r>
      <w:r>
        <w:rPr>
          <w:rFonts w:eastAsia="Times New Roman" w:cs="Calibri"/>
          <w:color w:val="000000"/>
          <w:kern w:val="0"/>
          <w:sz w:val="28"/>
          <w:szCs w:val="28"/>
          <w:shd w:fill="auto" w:val="clear"/>
          <w:lang w:val="ru-RU" w:eastAsia="en-US" w:bidi="ar-SA"/>
        </w:rPr>
        <w:t>6</w:t>
      </w:r>
      <w:r>
        <w:rPr>
          <w:sz w:val="28"/>
          <w:szCs w:val="28"/>
          <w:shd w:fill="auto" w:val="clear"/>
        </w:rPr>
        <w:t xml:space="preserve">г. статус безработного имели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 </w:t>
      </w:r>
      <w:r>
        <w:rPr>
          <w:sz w:val="28"/>
          <w:szCs w:val="28"/>
          <w:shd w:fill="auto" w:val="clear"/>
        </w:rPr>
        <w:t xml:space="preserve">человек,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en-US" w:bidi="ar-SA"/>
        </w:rPr>
        <w:t>пособие по безработице получали 5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en-US" w:bidi="ar-SA"/>
        </w:rPr>
        <w:t>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 безработных гражданин. 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Напряженность на рынке труда – 1% незанятых граждан на 1 вакансию.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банке фонда занятости имеется 56 вакансии, из них 25 по рабочим профессиям. Все вакансии с оплатой труда выше прожиточного минимума.</w:t>
      </w:r>
    </w:p>
    <w:p>
      <w:pPr>
        <w:pStyle w:val="Style25"/>
        <w:ind w:left="0" w:right="0" w:firstLine="851"/>
        <w:jc w:val="both"/>
        <w:rPr>
          <w:sz w:val="27"/>
          <w:szCs w:val="27"/>
          <w:shd w:fill="auto" w:val="clear"/>
        </w:rPr>
      </w:pPr>
      <w:r>
        <w:rPr>
          <w:sz w:val="27"/>
          <w:szCs w:val="27"/>
          <w:shd w:fill="auto" w:val="clear"/>
        </w:rPr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b/>
          <w:i w:val="false"/>
          <w:iCs w:val="false"/>
          <w:sz w:val="28"/>
          <w:szCs w:val="28"/>
          <w:shd w:fill="auto" w:val="clear"/>
        </w:rPr>
        <w:t>Потребительский рынок</w:t>
      </w:r>
      <w:r>
        <w:rPr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оказывает непосредственное воздействие на благосостояние нации. Здесь происходит купля-продажа предметов потребления.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Эта сфера обеспечивает удовлетворение потребностей различных социальных групп, каждой семьи, каждого человека. Здесь в наибольшей степени проявляются колебания спроса и предложения, инфляции, денежного обращения.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Общее количество объектов потребительского рынка по итогам 2025 г. насчитывает 130 единиц, из которых – 94 магазина. Сеть общественного питания включает 9 объектов, бытового обслуживания – 35 объекта.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торговле сделан большой акцент на сервисах доставки, как собственными силами, так и с помощью федеральных агрегаторов. Стала очень активно развиваться электронная коммерция. Основными факторами тенденции можно назвать растущее количество онлайн-покупателей и повышенный спрос на товары первой необходимости в интернете. В связи с чем на территории города успешно функционируют и пользуются большим спросом у населения 10 пунктов выдачи заказов O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ZON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, 8 пунктов выдачи заказов Wildberries, 2 пункта выдачи заказов Яндекс-маркет, </w:t>
      </w:r>
      <w:r>
        <w:rPr>
          <w:rFonts w:eastAsia="Calibri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логистический оператор СДЭК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  <w:lang w:eastAsia="ru-RU"/>
        </w:rPr>
        <w:t>Фактический</w:t>
      </w:r>
      <w:r>
        <w:rPr>
          <w:rFonts w:cs="Times New Roman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shd w:fill="auto" w:val="clear"/>
          <w:lang w:eastAsia="ru-RU"/>
        </w:rPr>
        <w:t>оборот розничной торговли</w:t>
      </w:r>
      <w:r>
        <w:rPr>
          <w:rFonts w:cs="Times New Roman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shd w:fill="auto" w:val="clear"/>
          <w:lang w:eastAsia="ru-RU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 год составил 1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639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 млн. руб., что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12,6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> 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больше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 по сравнению с аналогичным периодом 20</w:t>
      </w:r>
      <w:r>
        <w:rPr>
          <w:rFonts w:cs="Times New Roman"/>
          <w:color w:val="000000"/>
          <w:sz w:val="28"/>
          <w:szCs w:val="28"/>
          <w:shd w:fill="auto" w:val="clear"/>
          <w:lang w:eastAsia="ru-RU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 года.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shd w:fill="auto" w:val="clear"/>
        </w:rPr>
      </w:pPr>
      <w:r>
        <w:rPr>
          <w:rFonts w:cs="Times New Roman"/>
          <w:sz w:val="28"/>
          <w:szCs w:val="28"/>
          <w:shd w:fill="auto" w:val="clear"/>
          <w:lang w:eastAsia="ru-RU"/>
        </w:rPr>
        <w:t xml:space="preserve">Удельный вес пищевых продуктов в структуре товарооборота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72,6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%, непродовольственных товаров –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7,4</w:t>
      </w:r>
      <w:r>
        <w:rPr>
          <w:rFonts w:cs="Times New Roman"/>
          <w:sz w:val="28"/>
          <w:szCs w:val="28"/>
          <w:shd w:fill="auto" w:val="clear"/>
          <w:lang w:eastAsia="ru-RU"/>
        </w:rPr>
        <w:t>%.</w:t>
      </w:r>
    </w:p>
    <w:p>
      <w:pPr>
        <w:pStyle w:val="Normal"/>
        <w:ind w:left="0" w:right="0" w:firstLine="54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shd w:fill="auto" w:val="clear"/>
        </w:rPr>
        <w:t xml:space="preserve">Транспорт. </w:t>
      </w:r>
      <w:r>
        <w:rPr>
          <w:sz w:val="28"/>
          <w:szCs w:val="28"/>
          <w:shd w:fill="auto" w:val="clear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 г. автобусным транспортом общего пользования перевезено пассажиров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4,4</w:t>
      </w:r>
      <w:r>
        <w:rPr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меньше</w:t>
      </w:r>
      <w:r>
        <w:rPr>
          <w:sz w:val="28"/>
          <w:szCs w:val="28"/>
          <w:shd w:fill="auto" w:val="clear"/>
        </w:rPr>
        <w:t xml:space="preserve"> чем в аналогичном периоде прошлого года. Перевезено пассажиров в количестве 7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23,7</w:t>
      </w:r>
      <w:r>
        <w:rPr>
          <w:sz w:val="28"/>
          <w:szCs w:val="28"/>
          <w:shd w:fill="auto" w:val="clear"/>
        </w:rPr>
        <w:t> тыс. чел.</w:t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Автобусным транспортом общего пользования во всех видах сообщения выполнено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21,5 </w:t>
      </w:r>
      <w:r>
        <w:rPr>
          <w:sz w:val="28"/>
          <w:szCs w:val="28"/>
          <w:shd w:fill="auto" w:val="clear"/>
        </w:rPr>
        <w:t xml:space="preserve">тыс. рейсов, выполнение составляет 99,9% предусмотренных расписанием. 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Перевозка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пассажиров как в пригородном сообщении, так и на городском маршруте осуществляется единственным перевозчиком МУП «АТП ЗАТО г. Радужный». </w:t>
      </w:r>
    </w:p>
    <w:p>
      <w:pPr>
        <w:pStyle w:val="Normal"/>
        <w:ind w:left="0" w:right="-5" w:firstLine="851"/>
        <w:jc w:val="both"/>
        <w:rPr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За 202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г. реализовано:</w:t>
      </w:r>
    </w:p>
    <w:p>
      <w:pPr>
        <w:pStyle w:val="Normal"/>
        <w:ind w:left="0" w:right="-5" w:firstLine="851"/>
        <w:jc w:val="both"/>
        <w:rPr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</w:t>
      </w:r>
      <w:r>
        <w:rPr>
          <w:color w:val="000000"/>
          <w:kern w:val="2"/>
          <w:sz w:val="28"/>
          <w:szCs w:val="28"/>
          <w:shd w:fill="auto" w:val="clear"/>
          <w:lang w:eastAsia="zh-CN" w:bidi="hi-IN"/>
        </w:rPr>
        <w:t>2 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409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проездных билета для учащихся и студентов, на сумму 5,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78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млн. руб., на 14,5% больше чем в 2024;</w:t>
      </w:r>
    </w:p>
    <w:p>
      <w:pPr>
        <w:pStyle w:val="Normal"/>
        <w:ind w:left="0" w:right="-5" w:firstLine="851"/>
        <w:jc w:val="both"/>
        <w:rPr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- 1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488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социальных проездных билетов для отдельных категорий граждан на пригородный маршрут (на 8% больше чем 2024) и 2 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165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льготных проездных билетов для пенсионеров на городской маршрут на общую сумму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1,0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млн. руб.</w:t>
      </w:r>
    </w:p>
    <w:p>
      <w:pPr>
        <w:pStyle w:val="Normal"/>
        <w:ind w:left="0" w:right="-5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eastAsia="zh-CN"/>
        </w:rPr>
        <w:t xml:space="preserve">ЗАТО г. Радужный - одно из двух муниципальных образований Владимирской области, где реализуются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студенческие проездные билеты, а так же проездные билеты для детей из многодетных семей на пригородный маршрут.</w:t>
      </w:r>
    </w:p>
    <w:p>
      <w:pPr>
        <w:pStyle w:val="Normal"/>
        <w:ind w:left="0" w:right="0" w:firstLine="851"/>
        <w:jc w:val="both"/>
        <w:rPr>
          <w:sz w:val="27"/>
          <w:szCs w:val="27"/>
          <w:shd w:fill="auto" w:val="clear"/>
        </w:rPr>
      </w:pPr>
      <w:r>
        <w:rPr>
          <w:sz w:val="27"/>
          <w:szCs w:val="27"/>
          <w:shd w:fill="auto" w:val="clear"/>
        </w:rPr>
      </w:r>
    </w:p>
    <w:p>
      <w:pPr>
        <w:pStyle w:val="Normal"/>
        <w:spacing w:before="0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shd w:fill="auto" w:val="clear"/>
        </w:rPr>
        <w:t>Демографическая ситуация.</w:t>
      </w:r>
    </w:p>
    <w:p>
      <w:pPr>
        <w:pStyle w:val="Normal"/>
        <w:overflowPunct w:val="false"/>
        <w:spacing w:lineRule="auto" w:line="240"/>
        <w:ind w:left="0" w:right="0" w:hanging="0"/>
        <w:jc w:val="both"/>
        <w:rPr>
          <w:shd w:fill="auto" w:val="clear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ab/>
        <w:t>Демографическая ситуация в городе аналогична областной и общероссийской тенденции и характеризуется убылью населения – по итогам 2025 года прироста населения не удалось достичь ни одному муниципальному образованию области.</w:t>
      </w:r>
    </w:p>
    <w:p>
      <w:pPr>
        <w:pStyle w:val="Normal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 данным ЗАГСа в нашем городе за 2025 год естественная убыль составила 115 человек (прошлый год — 139). Родилось 64 ребенка, умерло 179 человек (для сравнения аналогичные показатели прошлого года – родилось 64 ребенка, умерло 203 человек).</w:t>
      </w:r>
    </w:p>
    <w:p>
      <w:pPr>
        <w:pStyle w:val="Normal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 сравнению с 2024 годом коэффициент рождаемости остался на прежнем уровне, а коэффициент смертности уменьшился на 12%.</w:t>
      </w:r>
    </w:p>
    <w:p>
      <w:pPr>
        <w:pStyle w:val="Normal"/>
        <w:overflowPunct w:val="false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Ч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исло юридически оформленных в органах ЗАГС браков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увеличилось на 32%, </w:t>
      </w:r>
      <w:r>
        <w:rPr>
          <w:rFonts w:cs="Times New Roman"/>
          <w:sz w:val="28"/>
          <w:szCs w:val="28"/>
          <w:shd w:fill="auto" w:val="clear"/>
          <w:lang w:eastAsia="ru-RU"/>
        </w:rPr>
        <w:t xml:space="preserve"> число разводов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уменьшилось на 18%</w:t>
      </w:r>
      <w:r>
        <w:rPr>
          <w:rFonts w:cs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ind w:left="0" w:right="0"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</w:rPr>
        <w:t>Денежные доходы населения.</w:t>
      </w:r>
    </w:p>
    <w:p>
      <w:pPr>
        <w:pStyle w:val="Style25"/>
        <w:spacing w:lineRule="auto" w:line="240"/>
        <w:ind w:left="0" w:right="0" w:firstLine="85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Среднесписочная численность работников организаций (без учета субъектов малого предпринимательства) за январь — ноябрь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год составила 6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494 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человека и  у</w:t>
      </w:r>
      <w:r>
        <w:rPr>
          <w:rFonts w:eastAsia="Liberation Mono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меньшилась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на </w:t>
      </w:r>
      <w:r>
        <w:rPr>
          <w:rFonts w:eastAsia="Liberation Mono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% по сравнению с аналогичным периодом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 года.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Среднемесячная номинальная начисленная заработная плата в крупных и средних организациях города за период с января по ноябрь 202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 г. увеличилась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18,1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% по сравнению с аналогичным периодом 202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 г. и составила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78 612,5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en-US" w:eastAsia="ru-RU"/>
        </w:rPr>
        <w:t> 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руб.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, в т.ч. по видам экономической деятельности: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- обрабатывающие производства 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82 303,7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 руб. (увеличение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16,2 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%);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- здравоохранение и предоставление социальных услуг –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63091 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руб.(увеличение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28,9 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%);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- образование 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56 865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 руб. (увеличение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16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%);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- оптовая и розничная торговля –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51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 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697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 руб. (увеличение 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11,1</w:t>
      </w:r>
      <w:r>
        <w:rPr>
          <w:rFonts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  <w:t>%).</w:t>
      </w:r>
    </w:p>
    <w:p>
      <w:pPr>
        <w:pStyle w:val="Normal"/>
        <w:spacing w:lineRule="auto" w:line="240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На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01.01.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ru-RU"/>
        </w:rPr>
        <w:t>202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г. просроченная задолженность по заработной плате отсутствовала.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left="0" w:right="0" w:firstLine="720"/>
        <w:jc w:val="both"/>
        <w:rPr>
          <w:shd w:fill="auto" w:val="clear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shd w:fill="auto" w:val="clear"/>
          <w:lang w:eastAsia="ru-RU"/>
        </w:rPr>
        <w:t>Финансовые результаты деятельности организаций.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За январь — ноябрь 202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 г. отрицательный сальдированный финансовый результат организаций (без субъектов малого предпринимательства) города в действующих ценах составил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961,8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 млн. руб. (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организаций получили прибыль – 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26,1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 млн. руб.,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организаци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получили убыток – 9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87,9 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млн. руб.).</w:t>
      </w:r>
    </w:p>
    <w:p>
      <w:pPr>
        <w:pStyle w:val="Normal"/>
        <w:ind w:left="0" w:right="0"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7"/>
          <w:szCs w:val="27"/>
          <w:shd w:fill="auto" w:val="clear"/>
          <w:lang w:eastAsia="ru-RU"/>
        </w:rPr>
      </w:pPr>
      <w:r>
        <w:rPr>
          <w:rFonts w:eastAsia="Times New Roman" w:cs="Times New Roman"/>
          <w:b w:val="false"/>
          <w:bCs w:val="false"/>
          <w:sz w:val="27"/>
          <w:szCs w:val="27"/>
          <w:shd w:fill="auto" w:val="clear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shd w:fill="auto" w:val="clear"/>
        </w:rPr>
        <w:t>Исполнение бюджетных расходов по закупкам для муниципальных нужд.</w:t>
      </w:r>
    </w:p>
    <w:p>
      <w:pPr>
        <w:pStyle w:val="Normal"/>
        <w:tabs>
          <w:tab w:val="clear" w:pos="709"/>
          <w:tab w:val="left" w:pos="57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  <w:shd w:fill="auto" w:val="clear"/>
        </w:rPr>
        <w:tab/>
      </w:r>
      <w:r>
        <w:rPr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 году муниципальными заказчиками были осуществлены 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399</w:t>
      </w:r>
      <w:r>
        <w:rPr>
          <w:sz w:val="28"/>
          <w:szCs w:val="28"/>
          <w:shd w:fill="auto" w:val="clear"/>
        </w:rPr>
        <w:t xml:space="preserve"> закупок на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411,3</w:t>
      </w:r>
      <w:r>
        <w:rPr>
          <w:sz w:val="28"/>
          <w:szCs w:val="28"/>
          <w:shd w:fill="auto" w:val="clear"/>
        </w:rPr>
        <w:t xml:space="preserve"> млн. руб.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 – 22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86</w:t>
      </w:r>
      <w:r>
        <w:rPr>
          <w:sz w:val="28"/>
          <w:szCs w:val="28"/>
          <w:shd w:fill="auto" w:val="clear"/>
        </w:rPr>
        <w:t xml:space="preserve"> закупок на 5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57,5</w:t>
      </w:r>
      <w:r>
        <w:rPr>
          <w:sz w:val="28"/>
          <w:szCs w:val="28"/>
          <w:shd w:fill="auto" w:val="clear"/>
        </w:rPr>
        <w:t xml:space="preserve">млн. руб.), из них 2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256</w:t>
      </w:r>
      <w:r>
        <w:rPr>
          <w:sz w:val="28"/>
          <w:szCs w:val="28"/>
          <w:shd w:fill="auto" w:val="clear"/>
        </w:rPr>
        <w:t xml:space="preserve"> закупки у единственного поставщика на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187,7 </w:t>
      </w:r>
      <w:r>
        <w:rPr>
          <w:sz w:val="28"/>
          <w:szCs w:val="28"/>
          <w:shd w:fill="auto" w:val="clear"/>
        </w:rPr>
        <w:t xml:space="preserve">млн. руб., а конкурентными способами были осуществлены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143 </w:t>
      </w:r>
      <w:r>
        <w:rPr>
          <w:sz w:val="28"/>
          <w:szCs w:val="28"/>
          <w:shd w:fill="auto" w:val="clear"/>
        </w:rPr>
        <w:t>закупк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sz w:val="28"/>
          <w:szCs w:val="28"/>
          <w:shd w:fill="auto" w:val="clear"/>
        </w:rPr>
        <w:t xml:space="preserve"> товаров, работ, услуг для муниципальных нужд ЗАТО г.Радужный, в том числе: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- в форме электронного аукциона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112</w:t>
      </w:r>
      <w:r>
        <w:rPr>
          <w:sz w:val="28"/>
          <w:szCs w:val="28"/>
          <w:shd w:fill="auto" w:val="clear"/>
        </w:rPr>
        <w:t xml:space="preserve"> закуп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ок</w:t>
      </w:r>
      <w:r>
        <w:rPr>
          <w:sz w:val="28"/>
          <w:szCs w:val="28"/>
          <w:shd w:fill="auto" w:val="clear"/>
        </w:rPr>
        <w:t xml:space="preserve"> (8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7,3</w:t>
      </w:r>
      <w:r>
        <w:rPr>
          <w:sz w:val="28"/>
          <w:szCs w:val="28"/>
          <w:shd w:fill="auto" w:val="clear"/>
        </w:rPr>
        <w:t xml:space="preserve">% от общего количества закупок) на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195,1</w:t>
      </w:r>
      <w:r>
        <w:rPr>
          <w:sz w:val="28"/>
          <w:szCs w:val="28"/>
          <w:shd w:fill="auto" w:val="clear"/>
        </w:rPr>
        <w:t xml:space="preserve"> млн. руб.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 –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23</w:t>
      </w:r>
      <w:r>
        <w:rPr>
          <w:sz w:val="28"/>
          <w:szCs w:val="28"/>
          <w:shd w:fill="auto" w:val="clear"/>
        </w:rPr>
        <w:t xml:space="preserve"> закупки на сумму 157,7 млн. руб.);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- в форме открытого конкурса – 1 закупка (0,7 %) на сумму 1,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sz w:val="28"/>
          <w:szCs w:val="28"/>
          <w:shd w:fill="auto" w:val="clear"/>
        </w:rPr>
        <w:t xml:space="preserve"> млн. руб.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 – 1 закупка на сумму 1,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</w:t>
      </w:r>
      <w:r>
        <w:rPr>
          <w:sz w:val="28"/>
          <w:szCs w:val="28"/>
          <w:shd w:fill="auto" w:val="clear"/>
        </w:rPr>
        <w:t xml:space="preserve"> млн. руб.);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- в форме запроса котировок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</w:t>
      </w:r>
      <w:r>
        <w:rPr>
          <w:sz w:val="28"/>
          <w:szCs w:val="28"/>
          <w:shd w:fill="auto" w:val="clear"/>
        </w:rPr>
        <w:t>0 закупок (1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sz w:val="28"/>
          <w:szCs w:val="28"/>
          <w:shd w:fill="auto" w:val="clear"/>
        </w:rPr>
        <w:t xml:space="preserve"> %) на сумму 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6,8</w:t>
      </w:r>
      <w:r>
        <w:rPr>
          <w:sz w:val="28"/>
          <w:szCs w:val="28"/>
          <w:shd w:fill="auto" w:val="clear"/>
        </w:rPr>
        <w:t xml:space="preserve"> млн. руб.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</w:t>
      </w:r>
      <w:r>
        <w:rPr>
          <w:sz w:val="28"/>
          <w:szCs w:val="28"/>
          <w:shd w:fill="auto" w:val="clear"/>
        </w:rPr>
        <w:t xml:space="preserve"> закупок на сумму 23,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sz w:val="28"/>
          <w:szCs w:val="28"/>
          <w:shd w:fill="auto" w:val="clear"/>
        </w:rPr>
        <w:t xml:space="preserve"> млн. руб.).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Всего объявлено закупок конкурентными способами на поставки товаров, выполнение работ, оказание услуг на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240,9</w:t>
      </w:r>
      <w:r>
        <w:rPr>
          <w:sz w:val="28"/>
          <w:szCs w:val="28"/>
          <w:shd w:fill="auto" w:val="clear"/>
        </w:rPr>
        <w:t xml:space="preserve"> млн. рублей.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Стоимость закупок, сложившаяся по результатам отбора поставщиков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223,6</w:t>
      </w:r>
      <w:r>
        <w:rPr>
          <w:sz w:val="28"/>
          <w:szCs w:val="28"/>
          <w:shd w:fill="auto" w:val="clear"/>
        </w:rPr>
        <w:t xml:space="preserve"> млн. рублей.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Экономия бюджетных средств по итогам проведения торгов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17,3</w:t>
      </w:r>
      <w:r>
        <w:rPr>
          <w:sz w:val="28"/>
          <w:szCs w:val="28"/>
          <w:shd w:fill="auto" w:val="clear"/>
        </w:rPr>
        <w:t xml:space="preserve"> млн. руб.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7,2</w:t>
      </w:r>
      <w:r>
        <w:rPr>
          <w:sz w:val="28"/>
          <w:szCs w:val="28"/>
          <w:shd w:fill="auto" w:val="clear"/>
        </w:rPr>
        <w:t xml:space="preserve"> % от заявленной начальной (максимальной) цены контрактов). Так же в соответствии с Планом осуществления закупок на поставки товаров, выполнение работ, оказания услуг для неотложных и первоочередных нужд на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sz w:val="28"/>
          <w:szCs w:val="28"/>
          <w:shd w:fill="auto" w:val="clear"/>
        </w:rPr>
        <w:t xml:space="preserve"> год муниципальными заказчиками в 4 квартале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 года были размещены 29 закупок на общую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28,8</w:t>
      </w:r>
      <w:r>
        <w:rPr>
          <w:sz w:val="28"/>
          <w:szCs w:val="28"/>
          <w:shd w:fill="auto" w:val="clear"/>
        </w:rPr>
        <w:t xml:space="preserve"> млн. рублей, в том числе: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- в форме электронного аукциона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18</w:t>
      </w:r>
      <w:r>
        <w:rPr>
          <w:sz w:val="28"/>
          <w:szCs w:val="28"/>
          <w:shd w:fill="auto" w:val="clear"/>
        </w:rPr>
        <w:t xml:space="preserve"> закуп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ок</w:t>
      </w:r>
      <w:r>
        <w:rPr>
          <w:sz w:val="28"/>
          <w:szCs w:val="28"/>
          <w:shd w:fill="auto" w:val="clear"/>
        </w:rPr>
        <w:t xml:space="preserve"> на сумму 24,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sz w:val="28"/>
          <w:szCs w:val="28"/>
          <w:shd w:fill="auto" w:val="clear"/>
        </w:rPr>
        <w:t xml:space="preserve"> млн. руб.;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- в форме электронного запроса котировок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</w:t>
      </w:r>
      <w:r>
        <w:rPr>
          <w:sz w:val="28"/>
          <w:szCs w:val="28"/>
          <w:shd w:fill="auto" w:val="clear"/>
        </w:rPr>
        <w:t xml:space="preserve"> закупок на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>,1 млн. руб.</w:t>
      </w:r>
    </w:p>
    <w:p>
      <w:pPr>
        <w:pStyle w:val="Normal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По результатам отбора поставщиков, исполнителей, подрядчиков экономия составила 1,2 млн. руб. 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20"/>
        <w:jc w:val="both"/>
        <w:rPr>
          <w:shd w:fill="auto" w:val="clear"/>
        </w:rPr>
      </w:pPr>
      <w:r>
        <w:rPr>
          <w:b/>
          <w:sz w:val="27"/>
          <w:szCs w:val="27"/>
          <w:shd w:fill="auto" w:val="clear"/>
        </w:rPr>
        <w:t>Исполнение бюджета ЗАТО г. Радужный.</w:t>
      </w:r>
    </w:p>
    <w:p>
      <w:pPr>
        <w:pStyle w:val="Normal"/>
        <w:ind w:left="0" w:right="0" w:firstLine="851"/>
        <w:jc w:val="both"/>
        <w:rPr>
          <w:shd w:fill="auto" w:val="clear"/>
        </w:rPr>
      </w:pPr>
      <w:r>
        <w:rPr>
          <w:b/>
          <w:i/>
          <w:color w:val="000000"/>
          <w:sz w:val="27"/>
          <w:szCs w:val="27"/>
          <w:shd w:fill="auto" w:val="clear"/>
        </w:rPr>
        <w:t>Доходы бюджета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Calibri"/>
          <w:b/>
          <w:i/>
          <w:color w:val="000000"/>
          <w:kern w:val="2"/>
          <w:sz w:val="28"/>
          <w:szCs w:val="28"/>
          <w:shd w:fill="auto" w:val="clear"/>
          <w:lang w:val="ru-RU" w:eastAsia="en-US" w:bidi="ar-SA"/>
        </w:rPr>
        <w:t>Доходы бюджета</w:t>
      </w: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 за 2025 г. составили 1 068,60 млн.руб. (выполнение - 99,95 %), в том числе: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- собственные доходы – 344,3 млн.руб.; 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безвозмездные поступления от других бюджетов бюджетной системы Российской Федерации – 724,3 млн.руб.;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Основная доля собственных поступлений приходится на: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налог на доходы физических лиц – 71 % (244,3 млн.руб., в 2024 г. – 69,4%);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налог на упрощенную систему налогообложения – 5,5 % (18,9 млн.руб.,  2024 г. – 5,8 %);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патентная система налогообложения – 1,2 % (4,2 млн.руб., в 2024 г. – 0,8 %);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земельный налог – 1,3 % (4,5 млн.руб., в 2024 г. – 3,5 %);</w:t>
      </w:r>
    </w:p>
    <w:p>
      <w:pPr>
        <w:pStyle w:val="ListParagraph"/>
        <w:ind w:left="0" w:right="0" w:firstLine="851"/>
        <w:jc w:val="both"/>
        <w:rPr>
          <w:shd w:fill="auto" w:val="clear"/>
        </w:rPr>
      </w:pPr>
      <w:r>
        <w:rPr>
          <w:rFonts w:eastAsia="Times New Roman" w:cs="Calibri"/>
          <w:color w:val="000000"/>
          <w:kern w:val="2"/>
          <w:sz w:val="28"/>
          <w:szCs w:val="28"/>
          <w:shd w:fill="auto" w:val="clear"/>
          <w:lang w:val="ru-RU" w:eastAsia="en-US" w:bidi="ar-SA"/>
        </w:rPr>
        <w:t>- транспортный налог – 2,7 % (9,2 млн.руб., в 2024 г. – 4,7 %).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Наибольший удельный вес в налоговых доходах бюджета города занимают отчисления организаций по налогу на доходы физических лиц, в т.ч. ООО «Владимирский стандарт», ЗАО «Электон», ФКП «ГЛП «Радуга», ЗАО «Радугаэнерго», ООО «Орион-Р» на общую сумму </w:t>
      </w:r>
      <w:r>
        <w:rPr>
          <w:rStyle w:val="Strong"/>
          <w:rFonts w:eastAsia="Times New Roman" w:cs="Calibri"/>
          <w:b w:val="false"/>
          <w:bCs/>
          <w:color w:val="000000"/>
          <w:kern w:val="2"/>
          <w:sz w:val="28"/>
          <w:szCs w:val="28"/>
          <w:shd w:fill="auto" w:val="clear"/>
          <w:lang w:val="ru-RU" w:eastAsia="en-US" w:bidi="ar-SA"/>
        </w:rPr>
        <w:t>148,6</w:t>
      </w: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 млн.руб.</w:t>
      </w:r>
    </w:p>
    <w:p>
      <w:pPr>
        <w:pStyle w:val="ListParagraph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Эффективное управление и распоряжение земельными ресурсами и муниципальным имуществом так же является залогом успешного пополнения бюджета. </w:t>
      </w:r>
    </w:p>
    <w:p>
      <w:pPr>
        <w:pStyle w:val="ListParagraph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 xml:space="preserve">Доходы от использования муниципальной собственности в общей сумме собственных доходов составили – 4,3 % (14,90 млн.руб.), что на 9,2 % больше, чем в 2024 г., в том числе арендная плата за земельные участки – 3,5 % (12 млн.руб., в 2024 г. – 3,4 %). 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Расходы бюджета исполнены в сумме 1 132,20 млн.руб., что составляет 99,2 % годового плана - это на 3,6 % больше чем в 2024 г.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В структуре бюджета города основную долю занимают расходы на: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- социальную сферу – 58,3 % (образование, физическая культура и спорт, культура, социальная политика, СМИ);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- жилищно-коммунальное хозяйство – 20,9 %;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- национальную безопасность и правоохранительную деятельность – 1,6%;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- общегосударственные вопросы – 12,3 %;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- национальную экономику – 6,9 %.</w:t>
      </w:r>
    </w:p>
    <w:p>
      <w:pPr>
        <w:pStyle w:val="Normal"/>
        <w:ind w:left="0" w:right="0" w:firstLine="851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rStyle w:val="Strong"/>
          <w:rFonts w:eastAsia="Times New Roman" w:cs="Calibri"/>
          <w:b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Бюджетная политика в области расходов в отчетном году была ориентирована на безусловное исполнение социальных обязательств и концентрацию ресурсов на ключевых социально - значимых направлениях. Все мероприятия реализуются в рамках 18 муниципальных программ, что обеспечивает системность планирования, согласованность ресурсов и достижение установленных показателей на муниципальном уровне.</w:t>
      </w:r>
    </w:p>
    <w:p>
      <w:pPr>
        <w:pStyle w:val="Normal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b/>
          <w:sz w:val="28"/>
          <w:szCs w:val="28"/>
          <w:shd w:fill="auto" w:val="clear"/>
        </w:rPr>
        <w:t xml:space="preserve">Показатели преступности. </w:t>
      </w:r>
      <w:r>
        <w:rPr>
          <w:sz w:val="28"/>
          <w:szCs w:val="28"/>
          <w:shd w:fill="auto" w:val="clear"/>
        </w:rPr>
        <w:t>По данным УМВД России по Владимирской области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г. Зарегистрировано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92</w:t>
      </w:r>
      <w:r>
        <w:rPr>
          <w:sz w:val="28"/>
          <w:szCs w:val="28"/>
          <w:shd w:fill="auto" w:val="clear"/>
        </w:rPr>
        <w:t xml:space="preserve"> преступлени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sz w:val="28"/>
          <w:szCs w:val="28"/>
          <w:shd w:fill="auto" w:val="clear"/>
        </w:rPr>
        <w:t xml:space="preserve">, что 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28,1</w:t>
      </w:r>
      <w:r>
        <w:rPr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меньше</w:t>
      </w:r>
      <w:r>
        <w:rPr>
          <w:sz w:val="28"/>
          <w:szCs w:val="28"/>
          <w:shd w:fill="auto" w:val="clear"/>
        </w:rPr>
        <w:t xml:space="preserve">, чем за аналогичный период прошлого года. Общая раскрываемость преступлений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34,4</w:t>
      </w:r>
      <w:r>
        <w:rPr>
          <w:sz w:val="28"/>
          <w:szCs w:val="28"/>
          <w:shd w:fill="auto" w:val="clear"/>
        </w:rPr>
        <w:t xml:space="preserve">%  и снизилась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28,2</w:t>
      </w:r>
      <w:r>
        <w:rPr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2024г. - 47,9%</w:t>
      </w:r>
      <w:r>
        <w:rPr>
          <w:sz w:val="28"/>
          <w:szCs w:val="28"/>
          <w:shd w:fill="auto" w:val="clear"/>
        </w:rPr>
        <w:t>).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Из общего числа зарегистрированных преступлений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sz w:val="28"/>
          <w:szCs w:val="28"/>
          <w:shd w:fill="auto" w:val="clear"/>
        </w:rPr>
        <w:t xml:space="preserve">2 отнесены к тяжким и особо тяжким преступлениям, по сравнению с 2024 годом 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уменьшение составило</w:t>
      </w:r>
      <w:r>
        <w:rPr>
          <w:sz w:val="28"/>
          <w:szCs w:val="28"/>
          <w:shd w:fill="auto" w:val="clear"/>
        </w:rPr>
        <w:t xml:space="preserve"> 31,3% . Удельный вес этих преступлений, в общем их числе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23,9</w:t>
      </w:r>
      <w:r>
        <w:rPr>
          <w:sz w:val="28"/>
          <w:szCs w:val="28"/>
          <w:shd w:fill="auto" w:val="clear"/>
        </w:rPr>
        <w:t xml:space="preserve">% против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</w:t>
      </w:r>
      <w:r>
        <w:rPr>
          <w:sz w:val="28"/>
          <w:szCs w:val="28"/>
          <w:shd w:fill="auto" w:val="clear"/>
        </w:rPr>
        <w:t>% в 20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>г. Раскрываемость тяжких и особо тяжких поступлений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sz w:val="28"/>
          <w:szCs w:val="28"/>
          <w:shd w:fill="auto" w:val="clear"/>
        </w:rPr>
        <w:t xml:space="preserve">г.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31,6</w:t>
      </w:r>
      <w:r>
        <w:rPr>
          <w:sz w:val="28"/>
          <w:szCs w:val="28"/>
          <w:shd w:fill="auto" w:val="clear"/>
        </w:rPr>
        <w:t xml:space="preserve">% против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37,1</w:t>
      </w:r>
      <w:r>
        <w:rPr>
          <w:sz w:val="28"/>
          <w:szCs w:val="28"/>
          <w:shd w:fill="auto" w:val="clear"/>
        </w:rPr>
        <w:t>% в 20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sz w:val="28"/>
          <w:szCs w:val="28"/>
          <w:shd w:fill="auto" w:val="clear"/>
        </w:rPr>
        <w:t xml:space="preserve">г. 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По сравнению с аналогичным периодом прошлого года численность выявленных лиц, совершивших преступление, у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меньшилась в 2,4 раза</w:t>
      </w:r>
      <w:r>
        <w:rPr>
          <w:sz w:val="28"/>
          <w:szCs w:val="28"/>
          <w:shd w:fill="auto" w:val="clear"/>
        </w:rPr>
        <w:t xml:space="preserve"> и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22</w:t>
      </w:r>
      <w:r>
        <w:rPr>
          <w:sz w:val="28"/>
          <w:szCs w:val="28"/>
          <w:shd w:fill="auto" w:val="clear"/>
        </w:rPr>
        <w:t xml:space="preserve"> человека.</w:t>
      </w:r>
    </w:p>
    <w:p>
      <w:pPr>
        <w:pStyle w:val="Normal"/>
        <w:ind w:left="0" w:right="0" w:firstLine="72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0" w:right="0" w:firstLine="708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Начальник</w:t>
      </w:r>
      <w:r>
        <w:rPr>
          <w:sz w:val="28"/>
          <w:szCs w:val="28"/>
          <w:shd w:fill="auto" w:val="clear"/>
        </w:rPr>
        <w:t xml:space="preserve"> отдел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sz w:val="28"/>
          <w:szCs w:val="28"/>
          <w:shd w:fill="auto" w:val="clear"/>
        </w:rPr>
        <w:t xml:space="preserve"> экономики                                          Т.П. Симонова</w:t>
      </w:r>
    </w:p>
    <w:sectPr>
      <w:footerReference w:type="default" r:id="rId2"/>
      <w:type w:val="nextPage"/>
      <w:pgSz w:w="11906" w:h="16838"/>
      <w:pgMar w:left="1701" w:right="850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ConsPlusNormal">
    <w:name w:val="ConsPlusNormal Знак"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5">
    <w:name w:val="Выделение жирным"/>
    <w:qFormat/>
    <w:rPr>
      <w:b/>
      <w:bCs/>
    </w:rPr>
  </w:style>
  <w:style w:type="character" w:styleId="FontStyle11">
    <w:name w:val="Font Style11"/>
    <w:qFormat/>
    <w:rPr>
      <w:rFonts w:ascii="Times New Roman" w:hAnsi="Times New Roman" w:eastAsia="Times New Roman"/>
      <w:sz w:val="22"/>
      <w:szCs w:val="22"/>
    </w:rPr>
  </w:style>
  <w:style w:type="character" w:styleId="Appleconvertedspace">
    <w:name w:val="apple-converted-space"/>
    <w:qFormat/>
    <w:rPr>
      <w:rFonts w:eastAsia="Times New Roman"/>
    </w:rPr>
  </w:style>
  <w:style w:type="character" w:styleId="11">
    <w:name w:val="Нижний колонтитул Знак1"/>
    <w:qFormat/>
    <w:rPr>
      <w:rFonts w:eastAsia="Calibri"/>
      <w:szCs w:val="22"/>
    </w:rPr>
  </w:style>
  <w:style w:type="character" w:styleId="12">
    <w:name w:val="Верхний колонтитул Знак1"/>
    <w:qFormat/>
    <w:rPr>
      <w:rFonts w:eastAsia="Calibri"/>
      <w:szCs w:val="22"/>
    </w:rPr>
  </w:style>
  <w:style w:type="character" w:styleId="3">
    <w:name w:val="Основной текст 3 Знак"/>
    <w:qFormat/>
    <w:rPr>
      <w:rFonts w:eastAsia="Calibri"/>
      <w:szCs w:val="16"/>
    </w:rPr>
  </w:style>
  <w:style w:type="character" w:styleId="Blk">
    <w:name w:val="blk"/>
    <w:qFormat/>
    <w:rPr/>
  </w:style>
  <w:style w:type="character" w:styleId="Style16">
    <w:name w:val="Основной текст с отступом Знак"/>
    <w:qFormat/>
    <w:rPr>
      <w:rFonts w:eastAsia="Calibri"/>
      <w:szCs w:val="22"/>
    </w:rPr>
  </w:style>
  <w:style w:type="character" w:styleId="Pagenumber">
    <w:name w:val="page number"/>
    <w:qFormat/>
    <w:rPr>
      <w:rFonts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uppressAutoHyphens w:val="true"/>
      <w:spacing w:before="0" w:after="0"/>
      <w:ind w:left="720" w:right="0" w:hanging="0"/>
      <w:contextualSpacing/>
    </w:pPr>
    <w:rPr/>
  </w:style>
  <w:style w:type="paragraph" w:styleId="Style25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lang w:eastAsia="ru-RU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eastAsia="Verdana"/>
      <w:lang w:val="en-US" w:eastAsia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LibreOffice/7.0.4.2$Windows_X86_64 LibreOffice_project/dcf040e67528d9187c66b2379df5ea4407429775</Application>
  <AppVersion>15.0000</AppVersion>
  <Pages>5</Pages>
  <Words>1557</Words>
  <Characters>9630</Characters>
  <CharactersWithSpaces>11220</CharactersWithSpaces>
  <Paragraphs>79</Paragraphs>
  <Company>Администрация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dc:description/>
  <dc:language>ru-RU</dc:language>
  <cp:lastModifiedBy/>
  <cp:lastPrinted>2026-02-26T16:03:59Z</cp:lastPrinted>
  <dcterms:modified xsi:type="dcterms:W3CDTF">2026-02-26T16:03:52Z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