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Приложение </w:t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к постановлению администрации</w:t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ЗАТО г. Радужный Владимирской области </w:t>
      </w:r>
    </w:p>
    <w:p>
      <w:pPr>
        <w:pStyle w:val="Normal"/>
        <w:spacing w:lineRule="auto" w:line="240" w:before="0" w:after="0"/>
        <w:ind w:hanging="0" w:left="100" w:right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0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9</w:t>
      </w:r>
      <w:r>
        <w:rPr>
          <w:rFonts w:cs="Times New Roman" w:ascii="Times New Roman" w:hAnsi="Times New Roman"/>
          <w:sz w:val="24"/>
          <w:szCs w:val="24"/>
          <w:lang w:eastAsia="ar-SA"/>
        </w:rPr>
        <w:t>.11.2023 № 1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506</w:t>
      </w:r>
    </w:p>
    <w:p>
      <w:pPr>
        <w:pStyle w:val="Normal"/>
        <w:spacing w:lineRule="auto" w:line="240" w:before="0" w:after="0"/>
        <w:ind w:hanging="0" w:left="100" w:right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(ред.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о</w:t>
      </w:r>
      <w:r>
        <w:rPr>
          <w:rFonts w:cs="Times New Roman" w:ascii="Times New Roman" w:hAnsi="Times New Roman"/>
          <w:sz w:val="24"/>
          <w:szCs w:val="24"/>
          <w:lang w:eastAsia="ar-SA"/>
        </w:rPr>
        <w:t>т 08.02.2024 № 167;</w:t>
      </w:r>
    </w:p>
    <w:p>
      <w:pPr>
        <w:pStyle w:val="Normal"/>
        <w:spacing w:lineRule="auto" w:line="240" w:before="0" w:after="0"/>
        <w:ind w:hanging="0" w:left="100" w:right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08.04.2024 № 450;</w:t>
      </w:r>
    </w:p>
    <w:p>
      <w:pPr>
        <w:pStyle w:val="Normal"/>
        <w:spacing w:lineRule="auto" w:line="240" w:before="0" w:after="0"/>
        <w:ind w:hanging="0" w:left="100" w:right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20.08.2024 № 986</w:t>
      </w:r>
      <w:bookmarkStart w:id="0" w:name="_GoBack2"/>
      <w:bookmarkEnd w:id="0"/>
      <w:r>
        <w:rPr>
          <w:rFonts w:cs="Times New Roman" w:ascii="Times New Roman" w:hAnsi="Times New Roman"/>
          <w:sz w:val="24"/>
          <w:szCs w:val="24"/>
          <w:lang w:eastAsia="ar-SA"/>
        </w:rPr>
        <w:t>;</w:t>
      </w:r>
    </w:p>
    <w:p>
      <w:pPr>
        <w:pStyle w:val="Normal"/>
        <w:spacing w:lineRule="auto" w:line="240" w:before="0" w:after="0"/>
        <w:ind w:hanging="0" w:left="100" w:right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 xml:space="preserve">23.10.2024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№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1368;</w:t>
      </w:r>
    </w:p>
    <w:p>
      <w:pPr>
        <w:pStyle w:val="Normal"/>
        <w:spacing w:lineRule="auto" w:line="240" w:before="0" w:after="0"/>
        <w:ind w:hanging="0" w:left="100" w:right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27.02.2025 № </w:t>
      </w:r>
      <w:r>
        <w:rPr>
          <w:rFonts w:cs="Times New Roman" w:ascii="Times New Roman" w:hAnsi="Times New Roman"/>
          <w:sz w:val="24"/>
          <w:szCs w:val="24"/>
          <w:lang w:val="en-US" w:eastAsia="ar-SA"/>
        </w:rPr>
        <w:t>223;</w:t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val="en-US" w:eastAsia="ar-SA"/>
        </w:rPr>
        <w:t>от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31.03.2025 № 401;</w:t>
      </w:r>
    </w:p>
    <w:p>
      <w:pPr>
        <w:pStyle w:val="Normal"/>
        <w:spacing w:lineRule="auto" w:line="240" w:before="0" w:after="0"/>
        <w:ind w:hanging="0" w:left="10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29.09.2025 № 1218;</w:t>
      </w:r>
    </w:p>
    <w:p>
      <w:pPr>
        <w:pStyle w:val="Normal"/>
        <w:spacing w:lineRule="auto" w:line="240" w:before="0" w:after="0"/>
        <w:ind w:hanging="0" w:left="1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30.12.2025 № 1774;</w:t>
      </w:r>
    </w:p>
    <w:p>
      <w:pPr>
        <w:pStyle w:val="Normal"/>
        <w:spacing w:lineRule="auto" w:line="240" w:before="0" w:after="0"/>
        <w:ind w:left="1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05.02.2026 № 160;</w:t>
      </w:r>
    </w:p>
    <w:p>
      <w:pPr>
        <w:pStyle w:val="Normal"/>
        <w:spacing w:lineRule="auto" w:line="240" w:before="0" w:after="0"/>
        <w:ind w:left="1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08.06.2026 № 725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  <w:lang w:eastAsia="ar-SA"/>
        </w:rPr>
        <w:t>)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Heading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false"/>
        <w:ind w:hanging="0" w:left="0"/>
        <w:textAlignment w:val="auto"/>
        <w:rPr>
          <w:sz w:val="28"/>
          <w:szCs w:val="28"/>
        </w:rPr>
      </w:pPr>
      <w:r>
        <w:rPr>
          <w:caps w:val="false"/>
          <w:smallCaps w:val="false"/>
          <w:spacing w:val="0"/>
          <w:sz w:val="28"/>
          <w:szCs w:val="28"/>
          <w:u w:val="none"/>
        </w:rPr>
        <w:t>«</w:t>
      </w:r>
      <w:r>
        <w:rPr>
          <w:bCs/>
          <w:caps w:val="false"/>
          <w:smallCaps w:val="false"/>
          <w:sz w:val="28"/>
          <w:szCs w:val="28"/>
          <w:u w:val="none"/>
        </w:rPr>
        <w:t xml:space="preserve">Жилищно-коммунальный комплекс на территории </w:t>
      </w:r>
    </w:p>
    <w:p>
      <w:pPr>
        <w:pStyle w:val="Heading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false"/>
        <w:ind w:hanging="0" w:left="0"/>
        <w:textAlignment w:val="auto"/>
        <w:rPr>
          <w:sz w:val="28"/>
          <w:szCs w:val="28"/>
        </w:rPr>
      </w:pPr>
      <w:r>
        <w:rPr>
          <w:bCs/>
          <w:caps w:val="false"/>
          <w:smallCaps w:val="false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false"/>
          <w:smallCaps w:val="false"/>
          <w:sz w:val="28"/>
          <w:szCs w:val="28"/>
          <w:u w:val="none"/>
        </w:rPr>
        <w:t>»</w:t>
      </w:r>
    </w:p>
    <w:p>
      <w:pPr>
        <w:pStyle w:val="Heading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false"/>
        <w:ind w:hanging="0" w:left="0"/>
        <w:textAlignment w:val="auto"/>
        <w:rPr>
          <w:sz w:val="26"/>
          <w:szCs w:val="26"/>
        </w:rPr>
      </w:pPr>
      <w:r>
        <w:rPr>
          <w:caps w:val="false"/>
          <w:smallCaps w:val="false"/>
          <w:spacing w:val="0"/>
          <w:sz w:val="26"/>
          <w:szCs w:val="26"/>
          <w:u w:val="none"/>
        </w:rPr>
        <w:t xml:space="preserve">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60"/>
        <w:jc w:val="center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cs="Times New Roman" w:ascii="Times New Roman" w:hAnsi="Times New Roman"/>
          <w:b/>
          <w:sz w:val="26"/>
          <w:szCs w:val="26"/>
        </w:rPr>
        <w:t xml:space="preserve">«Жилищно-коммунальный комплекс на территории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60"/>
        <w:jc w:val="center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ЗАТО г. Радужный Владимирской области»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ЗАТО г. Радужный </w:t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 На территории города расположены 75 многоквартирных домов, оборудованных централизованным электроснабжением, холодным, горячим водоснабжением, отоплением, жилая площадь которых составляет 379,8 тыс. кв.м., из них муниципальной площади 18,24 тыс. кв.м. Многоквартирный дом № 8 в 9 квартале является муниципальным общежитием.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2">
        <w:r>
          <w:rPr>
            <w:rStyle w:val="Style8"/>
            <w:rFonts w:cs="Times New Roman" w:ascii="Times New Roman" w:hAnsi="Times New Roman"/>
            <w:sz w:val="26"/>
            <w:szCs w:val="26"/>
            <w:lang w:eastAsia="ru-RU"/>
          </w:rPr>
          <w:t>ч. 2 ст. 65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3">
        <w:r>
          <w:rPr>
            <w:rStyle w:val="Style8"/>
            <w:rFonts w:cs="Times New Roman" w:ascii="Times New Roman" w:hAnsi="Times New Roman"/>
            <w:sz w:val="26"/>
            <w:szCs w:val="26"/>
            <w:lang w:eastAsia="ru-RU"/>
          </w:rPr>
          <w:t>ч. 1 ст. 81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4">
        <w:r>
          <w:rPr>
            <w:rStyle w:val="Style8"/>
            <w:rFonts w:cs="Times New Roman" w:ascii="Times New Roman" w:hAnsi="Times New Roman"/>
            <w:sz w:val="26"/>
            <w:szCs w:val="26"/>
            <w:lang w:eastAsia="ru-RU"/>
          </w:rPr>
          <w:t>ст. ст. 86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- </w:t>
      </w:r>
      <w:hyperlink r:id="rId5">
        <w:r>
          <w:rPr>
            <w:rStyle w:val="Style8"/>
            <w:rFonts w:cs="Times New Roman" w:ascii="Times New Roman" w:hAnsi="Times New Roman"/>
            <w:sz w:val="26"/>
            <w:szCs w:val="26"/>
            <w:lang w:eastAsia="ru-RU"/>
          </w:rPr>
          <w:t>88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Кроме того, 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2.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cs="Times New Roman" w:ascii="Times New Roman" w:hAnsi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cs="Times New Roman" w:ascii="Times New Roman" w:hAnsi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>
      <w:pPr>
        <w:pStyle w:val="Normal"/>
        <w:shd w:val="clear" w:color="auto" w:fill="FFFFFF"/>
        <w:spacing w:lineRule="auto" w:line="240" w:before="0" w:after="0"/>
        <w:ind w:firstLine="695" w:left="2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cs="Times New Roman" w:ascii="Times New Roman" w:hAnsi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cs="Times New Roman" w:ascii="Times New Roman" w:hAnsi="Times New Roman"/>
          <w:sz w:val="26"/>
          <w:szCs w:val="26"/>
        </w:rPr>
        <w:t>дней недели;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cs="Times New Roman" w:ascii="Times New Roman" w:hAnsi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cs="Times New Roman" w:ascii="Times New Roman" w:hAnsi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cs="Times New Roman" w:ascii="Times New Roman" w:hAnsi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cs="Times New Roman" w:ascii="Times New Roman" w:hAnsi="Times New Roman"/>
          <w:sz w:val="26"/>
          <w:szCs w:val="26"/>
        </w:rPr>
        <w:t>вводам в город (давление, расход).</w:t>
      </w:r>
    </w:p>
    <w:p>
      <w:pPr>
        <w:pStyle w:val="Normal"/>
        <w:shd w:val="clear" w:color="auto" w:fill="FFFFFF"/>
        <w:spacing w:lineRule="auto" w:line="240" w:before="0" w:after="0"/>
        <w:ind w:firstLine="702" w:right="14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cs="Times New Roman" w:ascii="Times New Roman" w:hAnsi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>
      <w:pPr>
        <w:pStyle w:val="Normal"/>
        <w:shd w:val="clear" w:color="auto" w:fill="FFFFFF"/>
        <w:spacing w:lineRule="auto" w:line="240" w:before="0" w:after="0"/>
        <w:ind w:firstLine="695" w:right="14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cs="Times New Roman" w:ascii="Times New Roman" w:hAnsi="Times New Roman"/>
          <w:sz w:val="26"/>
          <w:szCs w:val="26"/>
        </w:rPr>
        <w:t>предприятием ЗАТО г. Радужный ООО «НПП Знак».</w:t>
      </w:r>
    </w:p>
    <w:p>
      <w:pPr>
        <w:pStyle w:val="Normal"/>
        <w:shd w:val="clear" w:color="auto" w:fill="FFFFFF"/>
        <w:spacing w:lineRule="auto" w:line="240" w:before="4" w:after="0"/>
        <w:ind w:firstLine="691" w:right="1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cs="Times New Roman" w:ascii="Times New Roman" w:hAnsi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>
      <w:pPr>
        <w:pStyle w:val="Normal"/>
        <w:shd w:val="clear" w:color="auto" w:fill="FFFFFF"/>
        <w:spacing w:lineRule="auto" w:line="240" w:before="0" w:after="0"/>
        <w:ind w:firstLine="734" w:right="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>
      <w:pPr>
        <w:pStyle w:val="user6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</w:r>
      <w:r>
        <w:rPr>
          <w:rFonts w:cs="Times New Roman" w:ascii="Times New Roman" w:hAnsi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>
      <w:pPr>
        <w:pStyle w:val="user6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Городские бани (является подразделением ООО «ЖКХ-Радужный»),</w:t>
      </w:r>
    </w:p>
    <w:p>
      <w:pPr>
        <w:pStyle w:val="user6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ООО Кафе «Радужное».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cs="Times New Roman" w:ascii="Times New Roman" w:hAnsi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>ΙΙ. Приоритеты и цели муниципальной политики в сфере реализации муниципальной программы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6">
        <w:r>
          <w:rPr>
            <w:rStyle w:val="Style8"/>
            <w:rFonts w:cs="Times New Roman" w:ascii="Times New Roman" w:hAnsi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 xml:space="preserve">Стратегией социально-экономического развития муниципального образования ЗАТО г. Радужный Владимирской области, утвержденной  решением  Совета  народных депутатов ЗАТО г. Радужный Владимирской,  </w:t>
      </w:r>
      <w:r>
        <w:rPr>
          <w:rFonts w:cs="Times New Roman" w:ascii="Times New Roman" w:hAnsi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  <w:shd w:fill="FFFFFF" w:val="clear"/>
          <w:lang w:eastAsia="ru-RU"/>
        </w:rPr>
        <w:tab/>
      </w:r>
      <w:r>
        <w:rPr>
          <w:rFonts w:cs="Times New Roman" w:ascii="Times New Roman" w:hAnsi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Основными задачами программы являются: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cs="Times New Roman" w:ascii="Times New Roman" w:hAnsi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Heading1"/>
        <w:keepNext w:val="false"/>
        <w:widowControl w:val="false"/>
        <w:numPr>
          <w:ilvl w:val="0"/>
          <w:numId w:val="2"/>
        </w:numPr>
        <w:shd w:val="clear" w:color="auto" w:fill="FFFFFF"/>
        <w:tabs>
          <w:tab w:val="clear" w:pos="720"/>
          <w:tab w:val="left" w:pos="11057" w:leader="none"/>
        </w:tabs>
        <w:overflowPunct w:val="false"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положения</w:t>
      </w:r>
    </w:p>
    <w:tbl>
      <w:tblPr>
        <w:tblW w:w="965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4814"/>
        <w:gridCol w:w="4843"/>
      </w:tblGrid>
      <w:tr>
        <w:trPr>
          <w:trHeight w:val="76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cs="Times New Roman"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2024 год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год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III: 2026 год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IV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2027 год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2028 год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cs="Times New Roman" w:ascii="Times New Roman" w:hAnsi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 xml:space="preserve">351 965,03648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руб., в том числе: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2024 год-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68 656,67899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тыс. руб.,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2025 год- 107 102,38139 тыс. руб.,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2026 год-  72 210,0983 тыс. руб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.,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2027 год- 51 787,64690 тыс. руб.,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2028 год- 52 208,23090 тыс. руб.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2" w:name="__DdeLink__23184_1625634644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2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>
      <w:pPr>
        <w:sectPr>
          <w:type w:val="nextPage"/>
          <w:pgSz w:w="11906" w:h="16838"/>
          <w:pgMar w:left="1418" w:right="738" w:gutter="0" w:header="0" w:top="709" w:footer="0" w:bottom="48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01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629"/>
        <w:gridCol w:w="2272"/>
        <w:gridCol w:w="1553"/>
        <w:gridCol w:w="1154"/>
        <w:gridCol w:w="840"/>
        <w:gridCol w:w="917"/>
        <w:gridCol w:w="840"/>
        <w:gridCol w:w="791"/>
        <w:gridCol w:w="2128"/>
        <w:gridCol w:w="1413"/>
        <w:gridCol w:w="1559"/>
        <w:gridCol w:w="1605"/>
      </w:tblGrid>
      <w:tr>
        <w:trPr>
          <w:trHeight w:val="270" w:hRule="atLeast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73" w:after="0"/>
              <w:ind w:firstLine="4" w:left="81"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измерения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3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6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firstLine="4" w:left="26" w:right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firstLine="4" w:left="26" w:right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742" w:hRule="atLeast"/>
        </w:trPr>
        <w:tc>
          <w:tcPr>
            <w:tcW w:w="6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1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0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15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Коэффициент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5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735"/>
        <w:gridCol w:w="4933"/>
        <w:gridCol w:w="1817"/>
        <w:gridCol w:w="990"/>
        <w:gridCol w:w="1620"/>
        <w:gridCol w:w="5694"/>
      </w:tblGrid>
      <w:tr>
        <w:trPr>
          <w:trHeight w:val="561" w:hRule="atLeast"/>
        </w:trPr>
        <w:tc>
          <w:tcPr>
            <w:tcW w:w="15789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Структура муниципальной программы</w:t>
            </w:r>
          </w:p>
        </w:tc>
      </w:tr>
      <w:tr>
        <w:trPr>
          <w:trHeight w:val="5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8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>
        <w:trPr>
          <w:trHeight w:val="27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6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6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6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6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rPr>
          <w:trHeight w:val="58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94" w:after="0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7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2024-2028 г.г.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5: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  <w:tc>
          <w:tcPr>
            <w:tcW w:w="44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napToGrid w:val="fals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94" w:after="0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8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2024-2028 г.г.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pacing w:val="-3"/>
          <w:sz w:val="10"/>
          <w:szCs w:val="10"/>
        </w:rPr>
      </w:pPr>
      <w:r>
        <w:rPr>
          <w:rFonts w:cs="Times New Roman" w:ascii="Times New Roman" w:hAnsi="Times New Roman"/>
          <w:b/>
          <w:spacing w:val="-3"/>
          <w:sz w:val="10"/>
          <w:szCs w:val="10"/>
        </w:rPr>
      </w:r>
    </w:p>
    <w:tbl>
      <w:tblPr>
        <w:tblW w:w="159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3914"/>
        <w:gridCol w:w="210"/>
        <w:gridCol w:w="2490"/>
        <w:gridCol w:w="181"/>
        <w:gridCol w:w="1499"/>
        <w:gridCol w:w="16"/>
        <w:gridCol w:w="1544"/>
        <w:gridCol w:w="16"/>
        <w:gridCol w:w="1409"/>
        <w:gridCol w:w="16"/>
        <w:gridCol w:w="1469"/>
        <w:gridCol w:w="16"/>
        <w:gridCol w:w="1469"/>
        <w:gridCol w:w="16"/>
        <w:gridCol w:w="1704"/>
        <w:gridCol w:w="16"/>
      </w:tblGrid>
      <w:tr>
        <w:trPr>
          <w:trHeight w:val="275" w:hRule="atLeast"/>
        </w:trPr>
        <w:tc>
          <w:tcPr>
            <w:tcW w:w="15969" w:type="dxa"/>
            <w:gridSpan w:val="15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  <w:t>4. Финансовое обеспечение муниципальной программы</w:t>
            </w:r>
          </w:p>
        </w:tc>
        <w:tc>
          <w:tcPr>
            <w:tcW w:w="16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ГРБС/ КБК</w:t>
            </w:r>
          </w:p>
        </w:tc>
        <w:tc>
          <w:tcPr>
            <w:tcW w:w="91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  <w:tc>
          <w:tcPr>
            <w:tcW w:w="16" w:type="dxa"/>
            <w:tcBorders/>
          </w:tcPr>
          <w:p>
            <w:pPr>
              <w:pStyle w:val="Style24"/>
              <w:rPr/>
            </w:pPr>
            <w:r>
              <w:rPr/>
            </w:r>
          </w:p>
        </w:tc>
      </w:tr>
      <w:tr>
        <w:trPr>
          <w:trHeight w:val="504" w:hRule="atLeast"/>
        </w:trPr>
        <w:tc>
          <w:tcPr>
            <w:tcW w:w="41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hanging="0" w:left="1069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6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hanging="0" w:left="1069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rPr/>
            </w:pPr>
            <w:r>
              <w:rPr/>
              <w:t>Всего</w:t>
            </w:r>
          </w:p>
        </w:tc>
        <w:tc>
          <w:tcPr>
            <w:tcW w:w="16" w:type="dxa"/>
            <w:tcBorders/>
          </w:tcPr>
          <w:p>
            <w:pPr>
              <w:pStyle w:val="Style24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rPr/>
            </w:pPr>
            <w:r>
              <w:rPr/>
              <w:t>8</w:t>
            </w:r>
          </w:p>
        </w:tc>
        <w:tc>
          <w:tcPr>
            <w:tcW w:w="16" w:type="dxa"/>
            <w:tcBorders/>
          </w:tcPr>
          <w:p>
            <w:pPr>
              <w:pStyle w:val="Style24"/>
              <w:rPr/>
            </w:pPr>
            <w:r>
              <w:rPr/>
            </w:r>
          </w:p>
        </w:tc>
      </w:tr>
      <w:tr>
        <w:trPr>
          <w:trHeight w:val="527" w:hRule="atLeast"/>
        </w:trPr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eastAsia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Муниципальная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5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, в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том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9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числе: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ind w:left="1069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68 656,67899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107 102,38139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72 210,0983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51 787,64690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52 208,23090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rPr/>
            </w:pPr>
            <w:r>
              <w:rPr/>
              <w:t>351 965,03648</w:t>
            </w:r>
          </w:p>
        </w:tc>
        <w:tc>
          <w:tcPr>
            <w:tcW w:w="16" w:type="dxa"/>
            <w:tcBorders/>
          </w:tcPr>
          <w:p>
            <w:pPr>
              <w:pStyle w:val="user6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Комплекс процессных мероприятий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pacing w:val="-3"/>
              </w:rPr>
              <w:t>«Развитие жилищно-коммунального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pacing w:val="-3"/>
              </w:rPr>
              <w:t>комплекса»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ind w:left="1069"/>
              <w:rPr>
                <w:rFonts w:ascii="Times New Roman" w:hAnsi="Times New Roman" w:eastAsia="Times New Roman" w:cs="Times New Roman"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</w:rPr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68656,67899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107102,38139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721210,0983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51787,64690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52208,23090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351 965,03648</w:t>
            </w:r>
          </w:p>
        </w:tc>
      </w:tr>
      <w:tr>
        <w:trPr>
          <w:trHeight w:val="150" w:hRule="atLeast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ind w:left="70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</w:rPr>
              <w:t>33809,45000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157,9000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34042,35000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568,3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643,3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733-0502-0910373800-811</w:t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733-0502-09102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2160-244</w:t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 МО  ЗАТО г. Радужный Владимирской области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/>
            </w:pPr>
            <w:r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г.Радужный Владимирской области»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ind w:left="709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68581,67899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73292,93139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72052,19830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51787,64690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52208,23090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317922,68648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11057" w:leader="none"/>
              </w:tabs>
              <w:snapToGrid w:val="false"/>
              <w:ind w:hanging="0" w:left="10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28,78745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59,88910</w:t>
            </w:r>
          </w:p>
        </w:tc>
      </w:tr>
      <w:tr>
        <w:trPr>
          <w:trHeight w:val="285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733-0501-0940120450-244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411,37700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2094,737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1213,0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1259,20353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1055,34612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692,9602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1291,781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5512,29085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733-0501-0940120460-247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1930,645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2 212,82429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1913,89248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1725,530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1794,5512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9577,44297</w:t>
            </w:r>
          </w:p>
        </w:tc>
      </w:tr>
      <w:tr>
        <w:trPr>
          <w:trHeight w:val="309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733-0501-0940120470-244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2782,208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3 214,30443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15388,53143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733-0502-0940120480-244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1 388, 55691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6372,80102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733-0501-0940191070-244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1 103,12802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1185,0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2679,09943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733-0502-09102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2160-244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32</w:t>
            </w:r>
            <w:r>
              <w:rPr>
                <w:rFonts w:eastAsia="Times New Roman" w:cs="Times New Roman" w:ascii="Times New Roman" w:hAnsi="Times New Roman"/>
              </w:rPr>
              <w:t>,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381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32,381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2049,0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2049,0</w:t>
            </w:r>
          </w:p>
        </w:tc>
      </w:tr>
      <w:tr>
        <w:trPr>
          <w:trHeight w:val="250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733-0502-0940160020-811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12081,72135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9 744,37505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6000,0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247,258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28073,35440</w:t>
            </w:r>
          </w:p>
        </w:tc>
      </w:tr>
      <w:tr>
        <w:trPr>
          <w:trHeight w:val="216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1 883,43613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2000,0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3883,43613</w:t>
            </w:r>
          </w:p>
        </w:tc>
      </w:tr>
      <w:tr>
        <w:trPr>
          <w:trHeight w:val="216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733-0502-0910372680-811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5000,0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5000,0</w:t>
            </w:r>
          </w:p>
        </w:tc>
      </w:tr>
      <w:tr>
        <w:trPr>
          <w:trHeight w:val="264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733-0503-0940120500-244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4188,22464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2434,05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2393,90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2516,0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2516,0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14048,17464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733-0503-0940191090-244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8622,66031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9976,061141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7070.0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25668,72172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733-0505-0940100590-111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23115,04629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24 997,63663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27522,84002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27522,84002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27522,84002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130681,20298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733-0505-0940100590-112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6,86960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27,86960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733-0505-0940100590-119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6980,74350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7 456,66767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8311,89768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8311,89768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8311,89768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39373,10421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733-0505-0940100590-244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1510,683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1 641,0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1641,0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1641,0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1641,0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8074,683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733-0505-0940100590-851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608,236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2 409,64400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4151,168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4151,168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4151,168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15471,384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733-0505-0940100590-852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9,528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15,31500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11,32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11,32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11,32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58,803</w:t>
            </w:r>
          </w:p>
        </w:tc>
      </w:tr>
      <w:tr>
        <w:trPr>
          <w:trHeight w:val="390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733-1003-0940121190-323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3795,780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lang w:val="ru-RU" w:bidi="ar-SA"/>
              </w:rPr>
              <w:t>3795,780</w:t>
            </w:r>
          </w:p>
        </w:tc>
      </w:tr>
      <w:tr>
        <w:trPr>
          <w:trHeight w:val="113" w:hRule="atLeast"/>
        </w:trPr>
        <w:tc>
          <w:tcPr>
            <w:tcW w:w="3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13" w:hRule="atLeast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13" w:hRule="atLeast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cs="Times New Roman" w:ascii="Times New Roman" w:hAnsi="Times New Roman"/>
          <w:b/>
          <w:spacing w:val="-3"/>
          <w:sz w:val="22"/>
          <w:szCs w:val="22"/>
        </w:rPr>
      </w:r>
    </w:p>
    <w:p>
      <w:pPr>
        <w:pStyle w:val="user6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pacing w:val="-3"/>
          <w:sz w:val="28"/>
          <w:szCs w:val="28"/>
        </w:rPr>
        <w:t>Паспорт</w:t>
      </w:r>
    </w:p>
    <w:p>
      <w:pPr>
        <w:pStyle w:val="user6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pacing w:val="-3"/>
          <w:sz w:val="28"/>
          <w:szCs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0"/>
        <w:ind w:left="405" w:right="563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жилищно-коммунального комплекса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0"/>
        <w:ind w:left="405" w:right="563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795"/>
        <w:gridCol w:w="7836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34"/>
        <w:gridCol w:w="3968"/>
        <w:gridCol w:w="1420"/>
        <w:gridCol w:w="991"/>
        <w:gridCol w:w="1276"/>
        <w:gridCol w:w="1275"/>
        <w:gridCol w:w="1275"/>
        <w:gridCol w:w="1278"/>
        <w:gridCol w:w="1557"/>
        <w:gridCol w:w="1911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Ответственный </w:t>
            </w:r>
            <w:r>
              <w:rPr>
                <w:spacing w:val="-1"/>
                <w:sz w:val="20"/>
                <w:szCs w:val="20"/>
              </w:rPr>
              <w:t>за достижение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9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2028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Коэффициент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</w:tbl>
    <w:p>
      <w:pPr>
        <w:pStyle w:val="BodyText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1057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  <w:lang w:val="ru-RU"/>
        </w:rPr>
        <w:t>Перечень мероприятий (результатов) комплекса процессных мероприятий</w:t>
      </w:r>
    </w:p>
    <w:p>
      <w:pPr>
        <w:pStyle w:val="Heading1"/>
        <w:keepNext w:val="false"/>
        <w:widowControl w:val="false"/>
        <w:numPr>
          <w:ilvl w:val="0"/>
          <w:numId w:val="11"/>
        </w:numPr>
        <w:shd w:val="clear" w:color="auto" w:fill="FFFFFF"/>
        <w:tabs>
          <w:tab w:val="clear" w:pos="720"/>
          <w:tab w:val="left" w:pos="11057" w:leader="none"/>
        </w:tabs>
        <w:overflowPunct w:val="false"/>
        <w:spacing w:before="89" w:after="0"/>
        <w:ind w:left="1701"/>
        <w:textAlignment w:val="auto"/>
        <w:rPr>
          <w:sz w:val="12"/>
        </w:rPr>
      </w:pPr>
      <w:r>
        <w:rPr>
          <w:sz w:val="12"/>
        </w:rPr>
      </w:r>
    </w:p>
    <w:tbl>
      <w:tblPr>
        <w:tblW w:w="1564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33"/>
        <w:gridCol w:w="3261"/>
        <w:gridCol w:w="1559"/>
        <w:gridCol w:w="3403"/>
        <w:gridCol w:w="1224"/>
        <w:gridCol w:w="1710"/>
        <w:gridCol w:w="945"/>
        <w:gridCol w:w="1046"/>
        <w:gridCol w:w="903"/>
        <w:gridCol w:w="961"/>
      </w:tblGrid>
      <w:tr>
        <w:trPr>
          <w:trHeight w:val="420" w:hRule="atLeast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мероприятий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измерения</w:t>
            </w:r>
          </w:p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>
        <w:trPr>
          <w:trHeight w:val="615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52" w:hRule="atLeast"/>
        </w:trPr>
        <w:tc>
          <w:tcPr>
            <w:tcW w:w="1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созданию новых и приведение в нормативное состояние существующих мест (площадок) для накопления ТКО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308" w:hRule="atLeast"/>
        </w:trPr>
        <w:tc>
          <w:tcPr>
            <w:tcW w:w="1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</w:rPr>
              <w:t>2437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</w:rPr>
              <w:t>2300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79" w:hRule="atLeast"/>
        </w:trPr>
        <w:tc>
          <w:tcPr>
            <w:tcW w:w="1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3" w:hRule="atLeast"/>
        </w:trPr>
        <w:tc>
          <w:tcPr>
            <w:tcW w:w="1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20401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</w:tr>
      <w:tr>
        <w:trPr>
          <w:trHeight w:val="383" w:hRule="atLeast"/>
        </w:trPr>
        <w:tc>
          <w:tcPr>
            <w:tcW w:w="1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1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user6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user6"/>
        <w:numPr>
          <w:ilvl w:val="0"/>
          <w:numId w:val="13"/>
        </w:numPr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6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75"/>
        <w:gridCol w:w="3400"/>
        <w:gridCol w:w="2690"/>
        <w:gridCol w:w="1419"/>
        <w:gridCol w:w="1416"/>
        <w:gridCol w:w="1417"/>
        <w:gridCol w:w="1346"/>
        <w:gridCol w:w="1354"/>
        <w:gridCol w:w="1844"/>
      </w:tblGrid>
      <w:tr>
        <w:trPr>
          <w:trHeight w:val="420" w:hRule="atLeast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Объем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финансового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обеспечения</w:t>
            </w:r>
          </w:p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годам </w:t>
            </w:r>
            <w:r>
              <w:rPr>
                <w:rFonts w:ascii="Times New Roman" w:hAnsi="Times New Roman"/>
              </w:rPr>
              <w:t>реализации,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  <w:tr>
        <w:trPr>
          <w:trHeight w:val="177" w:hRule="atLeast"/>
        </w:trPr>
        <w:tc>
          <w:tcPr>
            <w:tcW w:w="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2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Направление 1 (подпрограмма):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68 656,67899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107 102,38139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72 210,0983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51 787,64690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52 208,23090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351 965,03648</w:t>
            </w:r>
          </w:p>
        </w:tc>
      </w:tr>
      <w:tr>
        <w:trPr>
          <w:trHeight w:val="26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33809,45000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157,9000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34042,35000</w:t>
            </w:r>
          </w:p>
        </w:tc>
      </w:tr>
      <w:tr>
        <w:trPr>
          <w:trHeight w:val="26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568,3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643,3</w:t>
            </w:r>
          </w:p>
        </w:tc>
      </w:tr>
      <w:tr>
        <w:trPr>
          <w:trHeight w:val="26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управляющей организации субсидии на возмещение финансового обеспечения затрат от оказания коммунальных услуг населению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733-0502-0910373800-811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</w:tr>
      <w:tr>
        <w:trPr>
          <w:trHeight w:val="26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733-0502-09102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2160-244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</w:tr>
      <w:tr>
        <w:trPr>
          <w:trHeight w:val="27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68581,67899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73292,93139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72052,19830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51787,19830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52208,23090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317922,68648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31,10165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28,78745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59,88910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733-0501-0940120450</w:t>
            </w:r>
            <w:r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423,36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411,377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420,0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420,0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2094,737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1213,0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1259,20353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1055,34612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692,9602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1291,781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5512,29085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1930,645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2212,82429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1913,89248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1725,530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1794,5512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9577,44297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2782,208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3214,30443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3130,673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3130,673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3130,673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15388,53143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733-0502-0940120480-244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754,24411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1388,55691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1410,0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1410,0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1410,0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6372,80102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390,97141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1103,12802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1185,0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2679,09943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733-0502-09102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2160-244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32,381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32,381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2 049,0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2049,0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12081,72135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9744,37505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6000,0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247,258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28073 ,35440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1883,43613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3883,43613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4188,22464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2434,05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2393,90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2516,0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2516,0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14048,17464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8622,66031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9976,06141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7070.0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25668,72172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32231,10639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36520,26330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41645,2257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41645,2257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41645,2257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193687,04679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23115,04629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24997,63663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27522,84002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27522,84002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27522,84002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130681,20298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6,86960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27,8696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6980,74350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7456,66767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8311,89768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8311,89768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8311,89768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39373,10421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1510,683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1 641,0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1641,0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1641,0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1641,0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8074,683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608,236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2409,644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4151,168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4151,168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4151,168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15471,384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9,528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15,315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11,32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11,32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11,32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58,803</w:t>
            </w:r>
          </w:p>
        </w:tc>
      </w:tr>
      <w:tr>
        <w:trPr>
          <w:trHeight w:val="52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733-1003-0940121190-323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3795,780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uppressAutoHyphens w:val="true"/>
              <w:bidi w:val="0"/>
              <w:spacing w:lineRule="auto" w:line="240"/>
              <w:jc w:val="center"/>
              <w:rPr>
                <w:rFonts w:ascii="Times New Roman" w:hAnsi="Times New Roman"/>
                <w:color w:val="auto"/>
                <w:kern w:val="0"/>
                <w:lang w:val="ru-RU" w:bidi="ar-SA"/>
              </w:rPr>
            </w:pPr>
            <w:r>
              <w:rPr>
                <w:rFonts w:ascii="Times New Roman" w:hAnsi="Times New Roman"/>
                <w:color w:val="auto"/>
                <w:kern w:val="0"/>
                <w:lang w:val="ru-RU" w:bidi="ar-SA"/>
              </w:rPr>
              <w:t>3795,780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user6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</w:rPr>
      </w:pPr>
      <w:r>
        <w:rPr>
          <w:b/>
        </w:rPr>
      </w:r>
    </w:p>
    <w:tbl>
      <w:tblPr>
        <w:tblW w:w="15585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057"/>
        <w:gridCol w:w="2162"/>
        <w:gridCol w:w="3346"/>
        <w:gridCol w:w="2444"/>
        <w:gridCol w:w="1576"/>
      </w:tblGrid>
      <w:tr>
        <w:trPr>
          <w:trHeight w:val="646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Задача1: </w:t>
            </w: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jc w:val="center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jc w:val="center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4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jc w:val="center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468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2.3.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30 июня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2.3.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1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3.2.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3.3.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574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4.2.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Услуга оказана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5:</w:t>
            </w:r>
          </w:p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5.2.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5.3.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«УАЗ ЗАТО г. Радужный», начальник Матвеев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6.3.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4" w:hRule="atLeast"/>
        </w:trPr>
        <w:tc>
          <w:tcPr>
            <w:tcW w:w="1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/>
              <w:jc w:val="both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8: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>
        <w:trPr>
          <w:trHeight w:val="1245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10: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10.2.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573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10.3.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tru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Бюджетная смета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Паспорт</w:t>
      </w:r>
    </w:p>
    <w:p>
      <w:pPr>
        <w:pStyle w:val="user6"/>
        <w:spacing w:lineRule="auto" w:line="240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795"/>
        <w:gridCol w:w="7836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34"/>
        <w:gridCol w:w="4018"/>
        <w:gridCol w:w="1228"/>
        <w:gridCol w:w="1133"/>
        <w:gridCol w:w="851"/>
        <w:gridCol w:w="991"/>
        <w:gridCol w:w="851"/>
        <w:gridCol w:w="1013"/>
        <w:gridCol w:w="1013"/>
        <w:gridCol w:w="1892"/>
        <w:gridCol w:w="1961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51" w:left="155" w:right="99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1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  <w:tc>
          <w:tcPr>
            <w:tcW w:w="1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before="68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>
      <w:pPr>
        <w:pStyle w:val="BodyText"/>
        <w:tabs>
          <w:tab w:val="clear" w:pos="720"/>
          <w:tab w:val="left" w:pos="11057" w:leader="none"/>
        </w:tabs>
        <w:spacing w:before="0" w:after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BodyText"/>
        <w:tabs>
          <w:tab w:val="clear" w:pos="720"/>
          <w:tab w:val="left" w:pos="11057" w:leader="none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>
      <w:pPr>
        <w:pStyle w:val="Heading1"/>
        <w:keepNext w:val="false"/>
        <w:widowControl w:val="false"/>
        <w:numPr>
          <w:ilvl w:val="0"/>
          <w:numId w:val="14"/>
        </w:numPr>
        <w:shd w:val="clear" w:color="auto" w:fill="FFFFFF"/>
        <w:tabs>
          <w:tab w:val="clear" w:pos="720"/>
          <w:tab w:val="left" w:pos="11057" w:leader="none"/>
        </w:tabs>
        <w:overflowPunct w:val="false"/>
        <w:spacing w:before="89" w:after="0"/>
        <w:ind w:left="1701"/>
        <w:textAlignment w:val="auto"/>
        <w:rPr>
          <w:sz w:val="12"/>
        </w:rPr>
      </w:pPr>
      <w:r>
        <w:rPr>
          <w:sz w:val="12"/>
        </w:rPr>
      </w:r>
    </w:p>
    <w:tbl>
      <w:tblPr>
        <w:tblW w:w="1569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76"/>
        <w:gridCol w:w="3573"/>
        <w:gridCol w:w="1486"/>
        <w:gridCol w:w="3527"/>
        <w:gridCol w:w="1347"/>
        <w:gridCol w:w="1124"/>
        <w:gridCol w:w="736"/>
        <w:gridCol w:w="750"/>
        <w:gridCol w:w="841"/>
        <w:gridCol w:w="795"/>
        <w:gridCol w:w="735"/>
      </w:tblGrid>
      <w:tr>
        <w:trPr>
          <w:trHeight w:val="420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>
        <w:trPr>
          <w:trHeight w:val="346" w:hRule="atLeast"/>
        </w:trPr>
        <w:tc>
          <w:tcPr>
            <w:tcW w:w="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>
        <w:trPr>
          <w:trHeight w:val="352" w:hRule="atLeast"/>
        </w:trPr>
        <w:tc>
          <w:tcPr>
            <w:tcW w:w="156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508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</w:tr>
    </w:tbl>
    <w:p>
      <w:pPr>
        <w:pStyle w:val="user6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02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77"/>
        <w:gridCol w:w="4537"/>
        <w:gridCol w:w="3258"/>
        <w:gridCol w:w="1135"/>
        <w:gridCol w:w="1134"/>
        <w:gridCol w:w="1133"/>
        <w:gridCol w:w="1026"/>
        <w:gridCol w:w="1242"/>
        <w:gridCol w:w="1560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КБК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>
        <w:trPr>
          <w:trHeight w:val="158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6"/>
              <w:widowControl w:val="false"/>
              <w:spacing w:lineRule="auto" w:line="24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6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>
      <w:pPr>
        <w:pStyle w:val="user6"/>
        <w:numPr>
          <w:ilvl w:val="0"/>
          <w:numId w:val="16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user6"/>
        <w:numPr>
          <w:ilvl w:val="0"/>
          <w:numId w:val="1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058"/>
        <w:gridCol w:w="2161"/>
        <w:gridCol w:w="3346"/>
        <w:gridCol w:w="2444"/>
        <w:gridCol w:w="1801"/>
      </w:tblGrid>
      <w:tr>
        <w:trPr>
          <w:trHeight w:val="646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eastAsia="NSimSun" w:cs="Liberation Mono" w:ascii="Times New Roman" w:hAnsi="Times New Roman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024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21" w:after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tbl>
      <w:tblPr>
        <w:tblW w:w="159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77"/>
        <w:gridCol w:w="2956"/>
        <w:gridCol w:w="2610"/>
        <w:gridCol w:w="3168"/>
        <w:gridCol w:w="2439"/>
        <w:gridCol w:w="1799"/>
        <w:gridCol w:w="2226"/>
      </w:tblGrid>
      <w:tr>
        <w:trPr>
          <w:trHeight w:val="748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Тип документа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Вид документа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Наименование документа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Реквизиты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Разработчик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09.11.2023 № 1506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FF"/>
                <w:u w:val="single"/>
                <w:lang w:eastAsia="zh-CN"/>
              </w:rPr>
              <w:t>http://www.raduzhnyi-city.ru/regulatory/mpa/</w:t>
            </w:r>
          </w:p>
        </w:tc>
      </w:tr>
      <w:tr>
        <w:trPr>
          <w:trHeight w:val="377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2.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 xml:space="preserve">О внесении изменений в </w:t>
            </w: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 xml:space="preserve">приложение к постановлению администрации ЗАТО г. Радужный Владимирской области от 09.11.2023 № 1506 «Об утверждении </w:t>
            </w: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муниципальн</w:t>
            </w: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ой</w:t>
            </w: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 xml:space="preserve"> программ</w:t>
            </w: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ы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08.02.2024 № 167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FF"/>
                <w:u w:val="single"/>
                <w:lang w:eastAsia="zh-CN"/>
              </w:rPr>
              <w:t>http://www.raduzhnyi-city.ru/regulatory/mpa/</w:t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08.04.2024 № 450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20.08.2024 № 986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23.11.2024 № 1368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27.12.2024 № 1736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27.02.2025 № 223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8.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31.03.2025 № 401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u w:val="singl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u w:val="single"/>
                <w:lang w:eastAsia="zh-CN"/>
              </w:rPr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9.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29.09.2025 № 1218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10.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21.10.2025 № 1392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11.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30.12.2025 № 1774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5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12.</w:t>
            </w:r>
          </w:p>
        </w:tc>
        <w:tc>
          <w:tcPr>
            <w:tcW w:w="2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05.02.2026 № 160</w:t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u w:val="singl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u w:val="single"/>
                <w:lang w:eastAsia="zh-CN"/>
              </w:rPr>
            </w:r>
          </w:p>
        </w:tc>
      </w:tr>
    </w:tbl>
    <w:p>
      <w:pPr>
        <w:pStyle w:val="Normal"/>
        <w:spacing w:before="0" w:after="20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sectPr>
      <w:footerReference w:type="even" r:id="rId7"/>
      <w:footerReference w:type="default" r:id="rId8"/>
      <w:footerReference w:type="first" r:id="rId9"/>
      <w:type w:val="nextPage"/>
      <w:pgSz w:orient="landscape" w:w="16838" w:h="11906"/>
      <w:pgMar w:left="539" w:right="51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629659928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0" w:after="20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629659928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0" w:after="20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</w:abstractNum>
  <w:abstractNum w:abstractNumId="3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2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3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4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5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6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17">
    <w:abstractNumId w:val="2"/>
    <w:lvlOverride w:ilvl="0">
      <w:startOverride w:val="1"/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49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locked/>
    <w:rsid w:val="000e3286"/>
    <w:pPr>
      <w:keepNext w:val="true"/>
      <w:numPr>
        <w:ilvl w:val="0"/>
        <w:numId w:val="1"/>
      </w:numPr>
      <w:overflowPunct w:val="true"/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Times New Roman" w:cs="Times New Roman"/>
      <w:b/>
      <w:caps/>
      <w:spacing w:val="20"/>
      <w:sz w:val="36"/>
      <w:szCs w:val="20"/>
      <w:u w:val="single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styleId="Style14" w:customStyle="1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qFormat/>
    <w:rsid w:val="00a67731"/>
    <w:rPr/>
  </w:style>
  <w:style w:type="character" w:styleId="Style15" w:customStyle="1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styleId="Style16" w:customStyle="1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styleId="extended-textshort" w:customStyle="1">
    <w:name w:val="extended-text__short"/>
    <w:basedOn w:val="DefaultParagraphFont"/>
    <w:qFormat/>
    <w:rsid w:val="0020578d"/>
    <w:rPr/>
  </w:style>
  <w:style w:type="character" w:styleId="Hyperlink" w:customStyle="1">
    <w:name w:val="Hyperlink"/>
    <w:uiPriority w:val="99"/>
    <w:semiHidden/>
    <w:unhideWhenUsed/>
    <w:qFormat/>
    <w:rsid w:val="0020578d"/>
    <w:rPr>
      <w:color w:val="000080"/>
      <w:u w:val="single"/>
    </w:rPr>
  </w:style>
  <w:style w:type="character" w:styleId="1" w:customStyle="1">
    <w:name w:val="Заголовок 1 Знак"/>
    <w:basedOn w:val="DefaultParagraphFont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styleId="Style17" w:customStyle="1">
    <w:name w:val="Основной текст Знак"/>
    <w:basedOn w:val="DefaultParagraphFont"/>
    <w:qFormat/>
    <w:rsid w:val="000e3286"/>
    <w:rPr>
      <w:rFonts w:eastAsia="Times New Roman"/>
      <w:sz w:val="24"/>
      <w:szCs w:val="24"/>
      <w:lang w:val="x-none" w:eastAsia="zh-CN"/>
    </w:rPr>
  </w:style>
  <w:style w:type="character" w:styleId="user" w:customStyle="1">
    <w:name w:val="Символ сноски (user)"/>
    <w:qFormat/>
    <w:rsid w:val="000e3286"/>
    <w:rPr>
      <w:vertAlign w:val="superscript"/>
    </w:rPr>
  </w:style>
  <w:style w:type="character" w:styleId="Style18" w:customStyle="1">
    <w:name w:val="Текст сноски Знак"/>
    <w:basedOn w:val="DefaultParagraphFont"/>
    <w:qFormat/>
    <w:rsid w:val="000e3286"/>
    <w:rPr>
      <w:rFonts w:eastAsia="Times New Roman"/>
      <w:sz w:val="18"/>
      <w:szCs w:val="22"/>
      <w:shd w:fill="FFFFFF" w:val="clear"/>
      <w:lang w:eastAsia="zh-CN"/>
    </w:rPr>
  </w:style>
  <w:style w:type="character" w:styleId="user1" w:customStyle="1">
    <w:name w:val="Маркеры (user)"/>
    <w:qFormat/>
    <w:rPr>
      <w:rFonts w:ascii="OpenSymbol" w:hAnsi="OpenSymbol" w:eastAsia="OpenSymbol" w:cs="OpenSymbol"/>
    </w:rPr>
  </w:style>
  <w:style w:type="character" w:styleId="user2" w:customStyle="1">
    <w:name w:val="Символ нумерации (user)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e328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3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73c9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73c9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Footer">
    <w:name w:val="footer"/>
    <w:basedOn w:val="Normal"/>
    <w:uiPriority w:val="99"/>
    <w:rsid w:val="00d73c97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</w:rPr>
  </w:style>
  <w:style w:type="paragraph" w:styleId="BalloonText">
    <w:name w:val="Balloon Text"/>
    <w:basedOn w:val="Normal"/>
    <w:uiPriority w:val="99"/>
    <w:semiHidden/>
    <w:qFormat/>
    <w:rsid w:val="00bd7343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Header">
    <w:name w:val="header"/>
    <w:basedOn w:val="Normal"/>
    <w:uiPriority w:val="99"/>
    <w:semiHidden/>
    <w:rsid w:val="00fa65d1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  <w:sz w:val="20"/>
      <w:szCs w:val="20"/>
    </w:rPr>
  </w:style>
  <w:style w:type="paragraph" w:styleId="PlainText">
    <w:name w:val="Plain Text"/>
    <w:basedOn w:val="Normal"/>
    <w:uiPriority w:val="99"/>
    <w:qFormat/>
    <w:rsid w:val="00b5065e"/>
    <w:pPr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semiHidden/>
    <w:unhideWhenUsed/>
    <w:qFormat/>
    <w:rsid w:val="002057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rsid w:val="000e3286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eastAsia="Times New Roman" w:cs="Times New Roman"/>
      <w:sz w:val="18"/>
      <w:lang w:eastAsia="zh-CN"/>
    </w:rPr>
  </w:style>
  <w:style w:type="paragraph" w:styleId="TableParagraph" w:customStyle="1">
    <w:name w:val="Table Paragraph"/>
    <w:basedOn w:val="Normal"/>
    <w:qFormat/>
    <w:rsid w:val="000e3286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lang w:eastAsia="zh-CN"/>
    </w:rPr>
  </w:style>
  <w:style w:type="paragraph" w:styleId="ListParagraph">
    <w:name w:val="List Paragraph"/>
    <w:basedOn w:val="Normal"/>
    <w:qFormat/>
    <w:rsid w:val="00152c51"/>
    <w:pPr>
      <w:widowControl w:val="false"/>
      <w:shd w:val="clear" w:color="auto" w:fill="FFFFFF"/>
      <w:spacing w:lineRule="auto" w:line="240" w:before="0" w:after="0"/>
      <w:ind w:firstLine="707" w:left="724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user6" w:customStyle="1">
    <w:name w:val="Текст в заданном формате (user)"/>
    <w:basedOn w:val="Normal"/>
    <w:qFormat/>
    <w:rsid w:val="00152c51"/>
    <w:pPr>
      <w:spacing w:before="0" w:after="0"/>
    </w:pPr>
    <w:rPr>
      <w:rFonts w:ascii="Liberation Mono" w:hAnsi="Liberation Mono" w:eastAsia="NSimSun" w:cs="Liberation Mono"/>
      <w:sz w:val="20"/>
      <w:szCs w:val="20"/>
      <w:lang w:eastAsia="zh-CN"/>
    </w:rPr>
  </w:style>
  <w:style w:type="paragraph" w:styleId="user7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8" w:customStyle="1">
    <w:name w:val="Заголовок таблицы (user)"/>
    <w:basedOn w:val="user7"/>
    <w:qFormat/>
    <w:pPr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user9">
    <w:name w:val="Содержимое врезки (user)"/>
    <w:basedOn w:val="Normal"/>
    <w:qFormat/>
    <w:pPr/>
    <w:rPr/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9079f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3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4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5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6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FEB2-B28B-46D2-8701-2D8BC752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7813</TotalTime>
  <Application>LibreOffice/26.2.3.2$Windows_X86_64 LibreOffice_project/70e089b17412e4cb7773e41413306b17a2328c34</Application>
  <AppVersion>15.0000</AppVersion>
  <Pages>24</Pages>
  <Words>5778</Words>
  <Characters>41637</Characters>
  <CharactersWithSpaces>46959</CharactersWithSpaces>
  <Paragraphs>1510</Paragraphs>
  <Company>GKMX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2021-09-21T11:52:00Z</dcterms:created>
  <dc:creator>User</dc:creator>
  <dc:description/>
  <dc:language>ru-RU</dc:language>
  <cp:lastModifiedBy/>
  <cp:lastPrinted>2026-05-19T07:12:00Z</cp:lastPrinted>
  <dcterms:modified xsi:type="dcterms:W3CDTF">2026-06-17T11:01:08Z</dcterms:modified>
  <cp:revision>780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