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1668" w:type="dxa"/>
        <w:tblLayout w:type="fixed"/>
        <w:tblLook w:val="04A0"/>
      </w:tblPr>
      <w:tblGrid>
        <w:gridCol w:w="3118"/>
        <w:gridCol w:w="4393"/>
        <w:gridCol w:w="709"/>
      </w:tblGrid>
      <w:tr w:rsidR="00F10FA8" w:rsidTr="00193ACF">
        <w:trPr>
          <w:gridBefore w:val="1"/>
          <w:wBefore w:w="3118" w:type="dxa"/>
          <w:trHeight w:val="1843"/>
        </w:trPr>
        <w:tc>
          <w:tcPr>
            <w:tcW w:w="5102" w:type="dxa"/>
            <w:gridSpan w:val="2"/>
          </w:tcPr>
          <w:p w:rsidR="00917A71" w:rsidRDefault="00917A71" w:rsidP="00D94412">
            <w:pPr>
              <w:pStyle w:val="1"/>
              <w:spacing w:before="20"/>
              <w:ind w:left="-2844" w:firstLine="2844"/>
            </w:pPr>
          </w:p>
          <w:p w:rsidR="00C250E1" w:rsidRDefault="00C250E1" w:rsidP="00C250E1">
            <w:pPr>
              <w:pStyle w:val="1"/>
              <w:spacing w:before="20"/>
              <w:ind w:left="-2844" w:firstLine="2844"/>
            </w:pPr>
            <w:r>
              <w:t>Приложение</w:t>
            </w:r>
          </w:p>
          <w:p w:rsidR="00C250E1" w:rsidRDefault="00C250E1" w:rsidP="00C250E1">
            <w:pPr>
              <w:spacing w:before="20"/>
              <w:ind w:left="-675" w:hanging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 </w:t>
            </w:r>
          </w:p>
          <w:p w:rsidR="00C250E1" w:rsidRDefault="00C250E1" w:rsidP="00C250E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ЗАТО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. Радужный </w:t>
            </w:r>
          </w:p>
          <w:p w:rsidR="00C250E1" w:rsidRDefault="00C250E1" w:rsidP="00C250E1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>от «12» октября 2016 г. № 1576</w:t>
            </w:r>
          </w:p>
          <w:p w:rsidR="00C250E1" w:rsidRDefault="00C250E1" w:rsidP="00C250E1">
            <w:pPr>
              <w:spacing w:before="20"/>
              <w:ind w:hanging="53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(в ред. от 14.02.2017  № 185, в ред. от  06.04.2017 № 487, в ред. от 16.06.2017 № 927, в ред.  от  22.08.2017г. № 1273, в ред. от 21.09.2017 № 1420,</w:t>
            </w:r>
            <w:proofErr w:type="gramEnd"/>
          </w:p>
          <w:p w:rsidR="00C250E1" w:rsidRDefault="00C250E1" w:rsidP="00C250E1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>от 27.10.2017 № 1681,</w:t>
            </w:r>
          </w:p>
          <w:p w:rsidR="00C250E1" w:rsidRDefault="00C250E1" w:rsidP="00C250E1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в ред. от </w:t>
            </w:r>
            <w:r w:rsidRPr="003905B1">
              <w:rPr>
                <w:sz w:val="28"/>
              </w:rPr>
              <w:t>2</w:t>
            </w:r>
            <w:r>
              <w:rPr>
                <w:sz w:val="28"/>
              </w:rPr>
              <w:t xml:space="preserve">3.11.2017 № 1876, </w:t>
            </w:r>
          </w:p>
          <w:p w:rsidR="00C250E1" w:rsidRDefault="00C250E1" w:rsidP="00C250E1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ред. от 18.12.2017 № 2045,  </w:t>
            </w:r>
          </w:p>
          <w:p w:rsidR="00C250E1" w:rsidRDefault="00C250E1" w:rsidP="00C250E1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>в ред. от 29.12.2017 г. № 2178,</w:t>
            </w:r>
          </w:p>
          <w:p w:rsidR="00C250E1" w:rsidRDefault="00C250E1" w:rsidP="00C250E1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>в ред. от 19.02.2018 г. № 238)</w:t>
            </w: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</w:tc>
      </w:tr>
      <w:tr w:rsidR="00F10FA8" w:rsidTr="00193ACF">
        <w:trPr>
          <w:gridAfter w:val="1"/>
          <w:wAfter w:w="709" w:type="dxa"/>
          <w:trHeight w:val="2028"/>
        </w:trPr>
        <w:tc>
          <w:tcPr>
            <w:tcW w:w="751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pStyle w:val="2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МУНИЦИПАЛЬНАЯ ПРОГРАММА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«Перспективное развитие и совершенствование гражданской обороны, защита населения и 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территории, обеспечение пожарной безопасности и безопасности людей на водных объектах 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ЗАТО г. </w:t>
            </w:r>
            <w:proofErr w:type="gramStart"/>
            <w:r>
              <w:rPr>
                <w:sz w:val="32"/>
                <w:szCs w:val="32"/>
              </w:rPr>
              <w:t>Радужный</w:t>
            </w:r>
            <w:proofErr w:type="gramEnd"/>
            <w:r>
              <w:rPr>
                <w:sz w:val="32"/>
                <w:szCs w:val="32"/>
              </w:rPr>
              <w:t xml:space="preserve"> Владимирской области» </w:t>
            </w: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</w:tc>
      </w:tr>
    </w:tbl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C250E1">
      <w:pPr>
        <w:spacing w:before="20"/>
        <w:rPr>
          <w:b/>
          <w:sz w:val="28"/>
        </w:rPr>
      </w:pPr>
    </w:p>
    <w:p w:rsidR="00C250E1" w:rsidRDefault="00C250E1" w:rsidP="00C250E1">
      <w:pPr>
        <w:spacing w:before="20"/>
        <w:rPr>
          <w:b/>
          <w:sz w:val="28"/>
        </w:rPr>
      </w:pPr>
    </w:p>
    <w:p w:rsidR="00F10FA8" w:rsidRDefault="00F10FA8" w:rsidP="00F10FA8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г. Радужный</w:t>
      </w:r>
    </w:p>
    <w:p w:rsidR="00F10FA8" w:rsidRDefault="00F10FA8" w:rsidP="00F10FA8">
      <w:pPr>
        <w:spacing w:before="20"/>
        <w:jc w:val="center"/>
        <w:rPr>
          <w:b/>
          <w:sz w:val="28"/>
        </w:rPr>
      </w:pPr>
      <w:r>
        <w:rPr>
          <w:b/>
          <w:sz w:val="28"/>
        </w:rPr>
        <w:t>201</w:t>
      </w:r>
      <w:r w:rsidR="00C250E1">
        <w:rPr>
          <w:b/>
          <w:sz w:val="28"/>
        </w:rPr>
        <w:t>6</w:t>
      </w:r>
      <w:r>
        <w:rPr>
          <w:b/>
          <w:sz w:val="28"/>
        </w:rPr>
        <w:t xml:space="preserve"> год</w:t>
      </w:r>
    </w:p>
    <w:p w:rsidR="00F10FA8" w:rsidRDefault="00F10FA8" w:rsidP="00F10FA8">
      <w:pPr>
        <w:pStyle w:val="2"/>
        <w:spacing w:before="20"/>
      </w:pPr>
    </w:p>
    <w:p w:rsidR="00F10FA8" w:rsidRDefault="00F10FA8" w:rsidP="00F10FA8">
      <w:pPr>
        <w:pStyle w:val="2"/>
        <w:spacing w:before="20"/>
      </w:pPr>
      <w:r>
        <w:t>ПАСПОРТ МУНИЦИПАЛЬНОЙ ПРОГРАММЫ</w:t>
      </w:r>
    </w:p>
    <w:p w:rsidR="00F10FA8" w:rsidRDefault="00F10FA8" w:rsidP="00F10FA8">
      <w:pPr>
        <w:spacing w:before="20"/>
        <w:rPr>
          <w:sz w:val="16"/>
          <w:szCs w:val="16"/>
        </w:rPr>
      </w:pPr>
    </w:p>
    <w:p w:rsidR="00F10FA8" w:rsidRDefault="00F10FA8" w:rsidP="00F10FA8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F10FA8" w:rsidTr="00D94412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pStyle w:val="3"/>
              <w:spacing w:before="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</w:rPr>
              <w:t>объектах</w:t>
            </w:r>
            <w:proofErr w:type="gramEnd"/>
            <w:r>
              <w:rPr>
                <w:szCs w:val="28"/>
              </w:rPr>
              <w:t xml:space="preserve"> ЗАТО г. Радужный Владимирской области»</w:t>
            </w:r>
          </w:p>
        </w:tc>
      </w:tr>
      <w:tr w:rsidR="00F10FA8" w:rsidTr="00D94412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</w:rPr>
              <w:t>Радужный</w:t>
            </w:r>
            <w:proofErr w:type="gramEnd"/>
            <w:r>
              <w:rPr>
                <w:sz w:val="28"/>
              </w:rPr>
              <w:t xml:space="preserve"> Владимирской области</w:t>
            </w:r>
          </w:p>
        </w:tc>
      </w:tr>
      <w:tr w:rsidR="00F10FA8" w:rsidTr="00D94412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Радужный Владимирской области</w:t>
            </w:r>
          </w:p>
        </w:tc>
      </w:tr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Основными целями 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</w:tc>
      </w:tr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Основные задачи программы: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rPr>
                <w:sz w:val="28"/>
              </w:rPr>
            </w:pPr>
            <w:r>
              <w:rPr>
                <w:sz w:val="28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создание городского центра управления в кризисных ситуациях (телефон 112);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F10FA8" w:rsidRDefault="00F10FA8" w:rsidP="00D94412">
            <w:pPr>
              <w:spacing w:before="20"/>
              <w:ind w:left="360"/>
              <w:rPr>
                <w:sz w:val="28"/>
              </w:rPr>
            </w:pPr>
          </w:p>
        </w:tc>
      </w:tr>
    </w:tbl>
    <w:p w:rsidR="00F10FA8" w:rsidRDefault="00F10FA8" w:rsidP="00F10FA8"/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A8" w:rsidRDefault="00F10FA8" w:rsidP="00D94412">
            <w:pPr>
              <w:spacing w:before="20"/>
              <w:rPr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</w:tc>
      </w:tr>
      <w:tr w:rsidR="00F10FA8" w:rsidTr="00D944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ущерба от чрезвычайных ситуаций, в том числе: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показателям прошлых годов количества гибели людей;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количества пострадавшего населения;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экономического ущерба.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ущерба.</w:t>
            </w:r>
          </w:p>
        </w:tc>
      </w:tr>
      <w:tr w:rsidR="00F10FA8" w:rsidTr="00D944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bCs/>
                <w:i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pStyle w:val="4"/>
              <w:spacing w:before="20"/>
              <w:jc w:val="both"/>
              <w:rPr>
                <w:sz w:val="28"/>
              </w:rPr>
            </w:pPr>
            <w:r>
              <w:rPr>
                <w:b w:val="0"/>
                <w:sz w:val="28"/>
                <w:szCs w:val="28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ЗАТО г. Радужный Владимирской». </w:t>
            </w:r>
          </w:p>
        </w:tc>
      </w:tr>
      <w:tr w:rsidR="00F10FA8" w:rsidTr="00D94412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программы, в том числе по годам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C6" w:rsidRPr="003500F6" w:rsidRDefault="00F33FC6" w:rsidP="00F33FC6">
            <w:pPr>
              <w:pStyle w:val="a3"/>
              <w:spacing w:before="20"/>
              <w:ind w:left="60"/>
              <w:jc w:val="left"/>
              <w:rPr>
                <w:bCs/>
                <w:szCs w:val="28"/>
              </w:rPr>
            </w:pPr>
            <w:r w:rsidRPr="003500F6">
              <w:rPr>
                <w:szCs w:val="28"/>
              </w:rPr>
              <w:t xml:space="preserve">Всего на реализацию мероприятий программы потребуется (тыс. руб.): </w:t>
            </w:r>
            <w:r w:rsidRPr="003500F6">
              <w:rPr>
                <w:bCs/>
                <w:szCs w:val="28"/>
              </w:rPr>
              <w:t>71845,11157</w:t>
            </w:r>
          </w:p>
          <w:p w:rsidR="00F33FC6" w:rsidRPr="003500F6" w:rsidRDefault="00F33FC6" w:rsidP="00F33FC6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 w:rsidRPr="003500F6">
              <w:rPr>
                <w:szCs w:val="28"/>
              </w:rPr>
              <w:t xml:space="preserve">2017 г. – </w:t>
            </w:r>
            <w:r w:rsidRPr="003500F6">
              <w:rPr>
                <w:bCs/>
                <w:szCs w:val="28"/>
                <w:lang w:eastAsia="en-US"/>
              </w:rPr>
              <w:t>18633,32957</w:t>
            </w:r>
          </w:p>
          <w:p w:rsidR="00F33FC6" w:rsidRPr="003500F6" w:rsidRDefault="00F33FC6" w:rsidP="00F33FC6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 w:rsidRPr="003500F6">
              <w:rPr>
                <w:szCs w:val="28"/>
              </w:rPr>
              <w:t xml:space="preserve">2018 г. – </w:t>
            </w: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30845,528</w:t>
            </w:r>
          </w:p>
          <w:p w:rsidR="00F33FC6" w:rsidRDefault="00F33FC6" w:rsidP="00F33FC6">
            <w:pPr>
              <w:pStyle w:val="a3"/>
              <w:spacing w:before="20"/>
              <w:ind w:left="60"/>
              <w:jc w:val="left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3500F6">
              <w:rPr>
                <w:szCs w:val="28"/>
              </w:rPr>
              <w:t xml:space="preserve">2019 г. – </w:t>
            </w: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8550,389</w:t>
            </w:r>
          </w:p>
          <w:p w:rsidR="00F10FA8" w:rsidRPr="00894B0D" w:rsidRDefault="00F33FC6" w:rsidP="00F33FC6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2020 г. </w:t>
            </w:r>
            <w:r w:rsidRPr="003500F6">
              <w:rPr>
                <w:szCs w:val="28"/>
              </w:rPr>
              <w:t xml:space="preserve">– </w:t>
            </w: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13815,867</w:t>
            </w:r>
          </w:p>
        </w:tc>
      </w:tr>
      <w:tr w:rsidR="00F10FA8" w:rsidTr="00D94412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 w:line="216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города.</w:t>
            </w:r>
          </w:p>
        </w:tc>
      </w:tr>
    </w:tbl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794EFD" w:rsidRDefault="00794EFD" w:rsidP="00F10FA8">
      <w:pPr>
        <w:spacing w:before="20"/>
        <w:jc w:val="center"/>
        <w:rPr>
          <w:b/>
          <w:sz w:val="28"/>
        </w:rPr>
      </w:pPr>
    </w:p>
    <w:p w:rsidR="00794EFD" w:rsidRDefault="00794EFD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проблемы и обоснование необходимости                                 решения ее программными методами</w:t>
      </w:r>
    </w:p>
    <w:p w:rsidR="00F10FA8" w:rsidRDefault="00F10FA8" w:rsidP="00F10FA8">
      <w:pPr>
        <w:spacing w:before="20"/>
        <w:ind w:left="720"/>
        <w:rPr>
          <w:b/>
          <w:sz w:val="28"/>
          <w:szCs w:val="28"/>
        </w:rPr>
      </w:pP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</w:t>
      </w:r>
      <w:r>
        <w:rPr>
          <w:rFonts w:ascii="Times New Roman" w:hAnsi="Times New Roman"/>
          <w:sz w:val="28"/>
          <w:szCs w:val="28"/>
        </w:rPr>
        <w:lastRenderedPageBreak/>
        <w:t>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F10FA8" w:rsidRDefault="00F10FA8" w:rsidP="00F10FA8">
      <w:pPr>
        <w:spacing w:before="20"/>
        <w:jc w:val="both"/>
        <w:rPr>
          <w:sz w:val="16"/>
          <w:szCs w:val="16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программы, </w:t>
      </w:r>
    </w:p>
    <w:p w:rsidR="00F10FA8" w:rsidRDefault="00F10FA8" w:rsidP="00F10FA8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794EFD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</w:t>
      </w:r>
      <w:r w:rsidR="00794EFD">
        <w:rPr>
          <w:sz w:val="28"/>
          <w:szCs w:val="28"/>
        </w:rPr>
        <w:t>;</w:t>
      </w:r>
    </w:p>
    <w:p w:rsidR="00F10FA8" w:rsidRDefault="00794EFD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4EFD">
        <w:rPr>
          <w:sz w:val="28"/>
          <w:szCs w:val="28"/>
        </w:rPr>
        <w:t xml:space="preserve">еализация мероприятий по построению (развитию)  и внедрению АПК "Безопасный город" на </w:t>
      </w:r>
      <w:proofErr w:type="gramStart"/>
      <w:r w:rsidRPr="00794EFD">
        <w:rPr>
          <w:sz w:val="28"/>
          <w:szCs w:val="28"/>
        </w:rPr>
        <w:t>территории</w:t>
      </w:r>
      <w:proofErr w:type="gramEnd"/>
      <w:r w:rsidRPr="00794EFD">
        <w:rPr>
          <w:sz w:val="28"/>
          <w:szCs w:val="28"/>
        </w:rPr>
        <w:t xml:space="preserve"> ЗАТО г. Радужный</w:t>
      </w:r>
      <w:r>
        <w:rPr>
          <w:sz w:val="28"/>
          <w:szCs w:val="28"/>
        </w:rPr>
        <w:t>.</w:t>
      </w:r>
      <w:r w:rsidRPr="00794EFD">
        <w:rPr>
          <w:sz w:val="28"/>
          <w:szCs w:val="28"/>
        </w:rPr>
        <w:t xml:space="preserve"> </w:t>
      </w:r>
    </w:p>
    <w:p w:rsidR="00F10FA8" w:rsidRDefault="00F10FA8" w:rsidP="00F10FA8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Достижение главной цели 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эффективное управление силами и средствами ликвидации чрезвычайных ситуаций;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F10FA8" w:rsidRDefault="00F10FA8" w:rsidP="00F10FA8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Программа рассчитана на три года. 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F10FA8" w:rsidRDefault="00F10FA8" w:rsidP="00F10FA8">
      <w:pPr>
        <w:ind w:right="-7"/>
        <w:jc w:val="center"/>
        <w:rPr>
          <w:b/>
          <w:sz w:val="16"/>
          <w:szCs w:val="16"/>
        </w:rPr>
      </w:pPr>
    </w:p>
    <w:p w:rsidR="00F10FA8" w:rsidRDefault="00F10FA8" w:rsidP="00F10FA8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F10FA8" w:rsidRDefault="00F10FA8" w:rsidP="00F10FA8">
      <w:pPr>
        <w:ind w:right="-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435"/>
        <w:gridCol w:w="850"/>
        <w:gridCol w:w="1418"/>
        <w:gridCol w:w="1417"/>
        <w:gridCol w:w="1379"/>
        <w:gridCol w:w="1405"/>
        <w:gridCol w:w="1405"/>
      </w:tblGrid>
      <w:tr w:rsidR="00F10FA8" w:rsidTr="00D9441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</w:t>
            </w:r>
            <w:proofErr w:type="spellStart"/>
            <w:r>
              <w:rPr>
                <w:sz w:val="24"/>
                <w:szCs w:val="24"/>
              </w:rPr>
              <w:t>идикатора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10FA8" w:rsidTr="00D9441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F10FA8" w:rsidTr="00D9441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гибели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пострадав-шего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Экономи-ческий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ущерб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обеспече-ние</w:t>
            </w:r>
            <w:proofErr w:type="spellEnd"/>
            <w:r>
              <w:rPr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sz w:val="24"/>
                <w:szCs w:val="24"/>
              </w:rPr>
              <w:t>монито-ринга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прогнози-рования</w:t>
            </w:r>
            <w:proofErr w:type="spellEnd"/>
            <w:r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10FA8" w:rsidTr="00D94412">
        <w:trPr>
          <w:trHeight w:val="4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Эффектив-ность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затрат на </w:t>
            </w:r>
            <w:proofErr w:type="spellStart"/>
            <w:r>
              <w:rPr>
                <w:sz w:val="24"/>
                <w:szCs w:val="24"/>
              </w:rPr>
              <w:t>мероприя-тия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предупреж-дению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чрезвычай-ных</w:t>
            </w:r>
            <w:proofErr w:type="spellEnd"/>
            <w:r>
              <w:rPr>
                <w:sz w:val="24"/>
                <w:szCs w:val="24"/>
              </w:rPr>
              <w:t xml:space="preserve">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10FA8" w:rsidRDefault="00F10FA8" w:rsidP="00F10FA8">
      <w:pPr>
        <w:pStyle w:val="21"/>
        <w:spacing w:before="20"/>
        <w:jc w:val="both"/>
        <w:rPr>
          <w:sz w:val="16"/>
          <w:szCs w:val="16"/>
        </w:rPr>
      </w:pPr>
    </w:p>
    <w:p w:rsidR="00193ACF" w:rsidRDefault="00193ACF" w:rsidP="00F10FA8">
      <w:pPr>
        <w:pStyle w:val="21"/>
        <w:spacing w:before="20"/>
        <w:jc w:val="both"/>
        <w:rPr>
          <w:sz w:val="16"/>
          <w:szCs w:val="16"/>
        </w:rPr>
      </w:pPr>
    </w:p>
    <w:p w:rsidR="00193ACF" w:rsidRDefault="00193ACF" w:rsidP="00F10FA8">
      <w:pPr>
        <w:pStyle w:val="21"/>
        <w:spacing w:before="20"/>
        <w:jc w:val="both"/>
        <w:rPr>
          <w:sz w:val="16"/>
          <w:szCs w:val="16"/>
        </w:rPr>
      </w:pPr>
    </w:p>
    <w:p w:rsidR="00193ACF" w:rsidRDefault="00193ACF" w:rsidP="00F10FA8">
      <w:pPr>
        <w:pStyle w:val="21"/>
        <w:spacing w:before="20"/>
        <w:jc w:val="both"/>
        <w:rPr>
          <w:sz w:val="16"/>
          <w:szCs w:val="16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 программы</w:t>
      </w:r>
    </w:p>
    <w:p w:rsidR="00F10FA8" w:rsidRPr="00193ACF" w:rsidRDefault="00F10FA8" w:rsidP="00F10FA8">
      <w:pPr>
        <w:spacing w:before="20"/>
        <w:ind w:left="720"/>
        <w:jc w:val="both"/>
        <w:rPr>
          <w:b/>
          <w:sz w:val="16"/>
          <w:szCs w:val="16"/>
        </w:rPr>
      </w:pPr>
    </w:p>
    <w:p w:rsidR="00F10FA8" w:rsidRDefault="00F10FA8" w:rsidP="0043657A">
      <w:pPr>
        <w:pStyle w:val="a3"/>
        <w:spacing w:before="20"/>
        <w:ind w:left="60"/>
        <w:jc w:val="left"/>
        <w:rPr>
          <w:szCs w:val="28"/>
        </w:rPr>
      </w:pPr>
      <w:r>
        <w:rPr>
          <w:szCs w:val="28"/>
        </w:rPr>
        <w:t xml:space="preserve">        Объем финансирования программы на 2017-20</w:t>
      </w:r>
      <w:r w:rsidR="00F33FC6">
        <w:rPr>
          <w:szCs w:val="28"/>
        </w:rPr>
        <w:t>20</w:t>
      </w:r>
      <w:r>
        <w:rPr>
          <w:szCs w:val="28"/>
        </w:rPr>
        <w:t xml:space="preserve"> г.г. составляет в сумме </w:t>
      </w:r>
      <w:r w:rsidR="00F33FC6" w:rsidRPr="003500F6">
        <w:rPr>
          <w:bCs/>
          <w:szCs w:val="28"/>
        </w:rPr>
        <w:t>71845,11157</w:t>
      </w:r>
      <w:r w:rsidR="00F33FC6">
        <w:rPr>
          <w:bCs/>
          <w:szCs w:val="28"/>
        </w:rPr>
        <w:t xml:space="preserve"> </w:t>
      </w:r>
      <w:r w:rsidR="0043657A">
        <w:rPr>
          <w:bCs/>
          <w:szCs w:val="28"/>
          <w:lang w:eastAsia="en-US"/>
        </w:rPr>
        <w:t xml:space="preserve"> </w:t>
      </w:r>
      <w:r>
        <w:rPr>
          <w:szCs w:val="28"/>
        </w:rPr>
        <w:t>тыс. руб. за счет собственных доходов.</w:t>
      </w:r>
    </w:p>
    <w:p w:rsidR="00F10FA8" w:rsidRDefault="00F10FA8" w:rsidP="00F10FA8">
      <w:pPr>
        <w:rPr>
          <w:sz w:val="16"/>
          <w:szCs w:val="16"/>
        </w:rPr>
      </w:pPr>
    </w:p>
    <w:p w:rsidR="00F10FA8" w:rsidRDefault="00F10FA8" w:rsidP="00F10FA8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F10FA8" w:rsidRPr="00193ACF" w:rsidRDefault="00F10FA8" w:rsidP="00F10FA8">
      <w:pPr>
        <w:spacing w:before="20"/>
        <w:ind w:firstLine="708"/>
        <w:jc w:val="both"/>
        <w:rPr>
          <w:sz w:val="16"/>
          <w:szCs w:val="16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F10FA8" w:rsidRPr="00193ACF" w:rsidRDefault="00F10FA8" w:rsidP="00F10FA8">
      <w:pPr>
        <w:spacing w:before="20"/>
        <w:jc w:val="center"/>
        <w:rPr>
          <w:b/>
          <w:sz w:val="16"/>
          <w:szCs w:val="16"/>
        </w:rPr>
      </w:pP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представлен в приложении к программе.</w:t>
      </w:r>
    </w:p>
    <w:p w:rsidR="00F10FA8" w:rsidRPr="00193ACF" w:rsidRDefault="00F10FA8" w:rsidP="00F10FA8">
      <w:pPr>
        <w:pStyle w:val="1"/>
        <w:spacing w:before="20"/>
        <w:ind w:left="1080"/>
        <w:rPr>
          <w:b/>
          <w:sz w:val="16"/>
          <w:szCs w:val="16"/>
        </w:rPr>
      </w:pPr>
    </w:p>
    <w:p w:rsidR="00F10FA8" w:rsidRDefault="00F10FA8" w:rsidP="00F10FA8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программы </w:t>
      </w:r>
    </w:p>
    <w:p w:rsidR="00F10FA8" w:rsidRPr="00193ACF" w:rsidRDefault="00F10FA8" w:rsidP="00F10FA8">
      <w:pPr>
        <w:spacing w:before="20"/>
        <w:ind w:left="720"/>
        <w:rPr>
          <w:sz w:val="16"/>
          <w:szCs w:val="16"/>
        </w:rPr>
      </w:pP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</w:t>
      </w:r>
      <w:r>
        <w:rPr>
          <w:rFonts w:ascii="Times New Roman" w:hAnsi="Times New Roman"/>
          <w:sz w:val="28"/>
          <w:szCs w:val="28"/>
        </w:rPr>
        <w:lastRenderedPageBreak/>
        <w:t>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rPr>
          <w:sz w:val="24"/>
          <w:szCs w:val="24"/>
        </w:rPr>
        <w:sectPr w:rsidR="00F10FA8">
          <w:pgSz w:w="11906" w:h="16838"/>
          <w:pgMar w:top="567" w:right="737" w:bottom="567" w:left="1418" w:header="181" w:footer="709" w:gutter="0"/>
          <w:cols w:space="720"/>
        </w:sectPr>
      </w:pPr>
    </w:p>
    <w:p w:rsidR="00F10FA8" w:rsidRDefault="00F10FA8" w:rsidP="00F1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РЕСУРСНОЕ ОБЕСПЕЧЕНИЕ ПРОГРАММЫ</w:t>
      </w:r>
    </w:p>
    <w:tbl>
      <w:tblPr>
        <w:tblpPr w:leftFromText="180" w:rightFromText="180" w:vertAnchor="text" w:horzAnchor="margin" w:tblpX="40" w:tblpY="135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276"/>
        <w:gridCol w:w="1843"/>
        <w:gridCol w:w="1275"/>
        <w:gridCol w:w="1985"/>
        <w:gridCol w:w="1701"/>
        <w:gridCol w:w="1843"/>
        <w:gridCol w:w="1842"/>
      </w:tblGrid>
      <w:tr w:rsidR="00F10FA8" w:rsidTr="00D94412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Срок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Объем финансирования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(тыс. 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Внебюджетные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Исполнители,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соисполнители,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ответственные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за реализацию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программы</w:t>
            </w:r>
          </w:p>
        </w:tc>
      </w:tr>
      <w:tr w:rsidR="00F10FA8" w:rsidTr="00D94412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Собственных доходов: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</w:tr>
      <w:tr w:rsidR="00F10FA8" w:rsidTr="00D94412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Субсидии,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иные межбюджетные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Другие собственные доходы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</w:tr>
      <w:tr w:rsidR="00F10FA8" w:rsidTr="00D944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9</w:t>
            </w:r>
          </w:p>
        </w:tc>
      </w:tr>
      <w:tr w:rsidR="00F10FA8" w:rsidTr="00D944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0FA8" w:rsidRDefault="00F10FA8" w:rsidP="00F33FC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«Перспективное </w:t>
            </w:r>
            <w:proofErr w:type="spellStart"/>
            <w:r>
              <w:rPr>
                <w:sz w:val="24"/>
                <w:szCs w:val="24"/>
              </w:rPr>
              <w:t>раз-витие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совершенст-вование</w:t>
            </w:r>
            <w:proofErr w:type="spellEnd"/>
            <w:r>
              <w:rPr>
                <w:sz w:val="24"/>
                <w:szCs w:val="24"/>
              </w:rPr>
              <w:t xml:space="preserve"> гражданской обороны, защита населения и </w:t>
            </w:r>
            <w:proofErr w:type="spellStart"/>
            <w:r>
              <w:rPr>
                <w:sz w:val="24"/>
                <w:szCs w:val="24"/>
              </w:rPr>
              <w:t>терри-тории</w:t>
            </w:r>
            <w:proofErr w:type="spellEnd"/>
            <w:r>
              <w:rPr>
                <w:sz w:val="24"/>
                <w:szCs w:val="24"/>
              </w:rPr>
              <w:t xml:space="preserve">, обеспечение пожарной </w:t>
            </w:r>
            <w:proofErr w:type="spellStart"/>
            <w:r>
              <w:rPr>
                <w:sz w:val="24"/>
                <w:szCs w:val="24"/>
              </w:rPr>
              <w:t>безопас-ности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людей на водных </w:t>
            </w:r>
            <w:proofErr w:type="gramStart"/>
            <w:r>
              <w:rPr>
                <w:sz w:val="24"/>
                <w:szCs w:val="24"/>
              </w:rPr>
              <w:t>объектах</w:t>
            </w:r>
            <w:proofErr w:type="gramEnd"/>
            <w:r>
              <w:rPr>
                <w:sz w:val="24"/>
                <w:szCs w:val="24"/>
              </w:rPr>
              <w:t xml:space="preserve"> ЗАТО           г. Радужный </w:t>
            </w:r>
            <w:proofErr w:type="spellStart"/>
            <w:r>
              <w:rPr>
                <w:sz w:val="24"/>
                <w:szCs w:val="24"/>
              </w:rPr>
              <w:t>Влади-мирской</w:t>
            </w:r>
            <w:proofErr w:type="spellEnd"/>
            <w:r>
              <w:rPr>
                <w:sz w:val="24"/>
                <w:szCs w:val="24"/>
              </w:rPr>
              <w:t xml:space="preserve">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F33F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</w:t>
            </w:r>
            <w:r w:rsidR="00F33FC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«УГОЧС», МКУ «КГМХ», Финансовое управление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               г. Радужный</w:t>
            </w:r>
          </w:p>
        </w:tc>
      </w:tr>
      <w:tr w:rsidR="00F33FC6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FC6" w:rsidRDefault="00F33FC6" w:rsidP="00F33FC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C6" w:rsidRDefault="00F33FC6" w:rsidP="00F3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71845,11157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FC6" w:rsidRDefault="00F33FC6" w:rsidP="00F33F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C6" w:rsidRDefault="00F33FC6" w:rsidP="00F33FC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C6" w:rsidRDefault="00F33FC6" w:rsidP="00F3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71845,11157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FC6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C6" w:rsidRDefault="00F33FC6" w:rsidP="00F3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18633,32957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FC6" w:rsidRDefault="00F33FC6" w:rsidP="00F33F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FC6" w:rsidRDefault="00F33FC6" w:rsidP="00F33FC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C6" w:rsidRDefault="00F33FC6" w:rsidP="00F3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18633,32957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FC6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C6" w:rsidRDefault="00F33FC6" w:rsidP="00F3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30845,528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FC6" w:rsidRDefault="00F33FC6" w:rsidP="00F33F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FC6" w:rsidRDefault="00F33FC6" w:rsidP="00F33FC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C6" w:rsidRDefault="00F33FC6" w:rsidP="00F3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30845,528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FC6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C6" w:rsidRDefault="00F33FC6" w:rsidP="00F3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8550,389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FC6" w:rsidRDefault="00F33FC6" w:rsidP="00F33F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FC6" w:rsidRDefault="00F33FC6" w:rsidP="00F33F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C6" w:rsidRDefault="00F33FC6" w:rsidP="00F3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8550,389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FC6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C6" w:rsidRDefault="00F33FC6" w:rsidP="00F3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13815,867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FC6" w:rsidRDefault="00F33FC6" w:rsidP="00F33F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FC6" w:rsidRDefault="00F33FC6" w:rsidP="00F33F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C6" w:rsidRDefault="00F33FC6" w:rsidP="00F33F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13815,867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C6" w:rsidRDefault="00F33FC6" w:rsidP="00F33FC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10FA8" w:rsidRDefault="00F10FA8" w:rsidP="0043657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F10FA8" w:rsidSect="004365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4C"/>
    <w:multiLevelType w:val="hybridMultilevel"/>
    <w:tmpl w:val="AC7EF286"/>
    <w:lvl w:ilvl="0" w:tplc="868ABA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6C0E"/>
    <w:multiLevelType w:val="singleLevel"/>
    <w:tmpl w:val="212A89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871735A"/>
    <w:multiLevelType w:val="hybridMultilevel"/>
    <w:tmpl w:val="B05C5292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FA8"/>
    <w:rsid w:val="000E71F9"/>
    <w:rsid w:val="00115062"/>
    <w:rsid w:val="001808BE"/>
    <w:rsid w:val="00193ACF"/>
    <w:rsid w:val="00340AC7"/>
    <w:rsid w:val="00411FD0"/>
    <w:rsid w:val="0043657A"/>
    <w:rsid w:val="005569F7"/>
    <w:rsid w:val="005B6F11"/>
    <w:rsid w:val="005D77C0"/>
    <w:rsid w:val="00605D51"/>
    <w:rsid w:val="00686A1F"/>
    <w:rsid w:val="00725CEB"/>
    <w:rsid w:val="007314DE"/>
    <w:rsid w:val="00742893"/>
    <w:rsid w:val="00794EFD"/>
    <w:rsid w:val="007B0FA6"/>
    <w:rsid w:val="00894B0D"/>
    <w:rsid w:val="008F5BC0"/>
    <w:rsid w:val="00917A71"/>
    <w:rsid w:val="00990DC4"/>
    <w:rsid w:val="009D78BC"/>
    <w:rsid w:val="00A252CE"/>
    <w:rsid w:val="00A87997"/>
    <w:rsid w:val="00B678C9"/>
    <w:rsid w:val="00B82D42"/>
    <w:rsid w:val="00C250E1"/>
    <w:rsid w:val="00C5170A"/>
    <w:rsid w:val="00D34629"/>
    <w:rsid w:val="00D72AE5"/>
    <w:rsid w:val="00DE0AA7"/>
    <w:rsid w:val="00E0637E"/>
    <w:rsid w:val="00F10FA8"/>
    <w:rsid w:val="00F33FC6"/>
    <w:rsid w:val="00F91AA1"/>
    <w:rsid w:val="00F9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FA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10FA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10FA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10FA8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0F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0FA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F10FA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10FA8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10FA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8">
    <w:name w:val="Font Style28"/>
    <w:uiPriority w:val="99"/>
    <w:rsid w:val="00F33FC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adm7</cp:lastModifiedBy>
  <cp:revision>2</cp:revision>
  <cp:lastPrinted>2018-03-05T06:34:00Z</cp:lastPrinted>
  <dcterms:created xsi:type="dcterms:W3CDTF">2018-03-05T07:37:00Z</dcterms:created>
  <dcterms:modified xsi:type="dcterms:W3CDTF">2018-03-05T07:37:00Z</dcterms:modified>
</cp:coreProperties>
</file>