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52" w:before="0" w:after="0"/>
        <w:ind w:firstLine="709"/>
        <w:jc w:val="center"/>
        <w:rPr>
          <w:rFonts w:ascii="Tinos" w:hAnsi="Tinos"/>
          <w:sz w:val="27"/>
          <w:szCs w:val="27"/>
        </w:rPr>
      </w:pPr>
      <w:r>
        <w:rPr>
          <w:rFonts w:ascii="Tinos" w:hAnsi="Tinos"/>
          <w:sz w:val="27"/>
          <w:szCs w:val="27"/>
        </w:rPr>
        <w:t> </w:t>
      </w:r>
      <w:r>
        <w:rPr>
          <w:rFonts w:cs="Times New Roman" w:ascii="Tinos" w:hAnsi="Tinos"/>
          <w:b/>
          <w:bCs/>
          <w:color w:val="000000"/>
          <w:sz w:val="27"/>
          <w:szCs w:val="27"/>
        </w:rPr>
        <w:t xml:space="preserve">Управление рисками причинения вреда (ущерба) охраняемым законом ценностям при осуществлении </w:t>
      </w:r>
      <w:r>
        <w:rPr>
          <w:rFonts w:cs="Times New Roman" w:ascii="Tinos" w:hAnsi="Tinos"/>
          <w:b/>
          <w:bCs/>
          <w:color w:val="000000"/>
          <w:sz w:val="27"/>
          <w:szCs w:val="27"/>
        </w:rPr>
        <w:t>муниципально</w:t>
      </w:r>
      <w:r>
        <w:rPr>
          <w:rFonts w:cs="Times New Roman" w:ascii="Tinos" w:hAnsi="Tinos"/>
          <w:b/>
          <w:bCs/>
          <w:color w:val="000000"/>
          <w:sz w:val="27"/>
          <w:szCs w:val="27"/>
        </w:rPr>
        <w:t>го</w:t>
      </w:r>
      <w:r>
        <w:rPr>
          <w:rFonts w:cs="Times New Roman" w:ascii="Tinos" w:hAnsi="Tinos"/>
          <w:b/>
          <w:bCs/>
          <w:color w:val="000000"/>
          <w:sz w:val="27"/>
          <w:szCs w:val="27"/>
        </w:rPr>
        <w:t xml:space="preserve"> контрол</w:t>
      </w:r>
      <w:r>
        <w:rPr>
          <w:rFonts w:cs="Times New Roman" w:ascii="Tinos" w:hAnsi="Tinos"/>
          <w:b/>
          <w:bCs/>
          <w:color w:val="000000"/>
          <w:sz w:val="27"/>
          <w:szCs w:val="27"/>
        </w:rPr>
        <w:t>я</w:t>
      </w:r>
      <w:r>
        <w:rPr>
          <w:rFonts w:cs="Times New Roman" w:ascii="Tinos" w:hAnsi="Tinos"/>
          <w:b/>
          <w:bCs/>
          <w:color w:val="000000"/>
          <w:sz w:val="27"/>
          <w:szCs w:val="27"/>
        </w:rPr>
        <w:t xml:space="preserve"> </w:t>
      </w:r>
      <w:r>
        <w:rPr>
          <w:rFonts w:cs="Times New Roman" w:ascii="Tinos" w:hAnsi="Tinos"/>
          <w:b/>
          <w:bCs/>
          <w:color w:val="000000"/>
          <w:spacing w:val="2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cs="Times New Roman" w:ascii="Tinos" w:hAnsi="Tinos"/>
          <w:b/>
          <w:bCs/>
          <w:color w:val="000000"/>
          <w:sz w:val="27"/>
          <w:szCs w:val="27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iCs w:val="false"/>
          <w:color w:val="000000"/>
          <w:spacing w:val="-5"/>
          <w:sz w:val="27"/>
          <w:szCs w:val="27"/>
        </w:rPr>
        <w:t xml:space="preserve">на территории ЗАТО г. Радужный </w:t>
      </w:r>
      <w:r>
        <w:rPr>
          <w:rFonts w:eastAsia="Arial" w:cs="Times New Roman" w:ascii="Tinos" w:hAnsi="Tinos"/>
          <w:b/>
          <w:bCs/>
          <w:i w:val="false"/>
          <w:iCs w:val="false"/>
          <w:color w:val="000000"/>
          <w:spacing w:val="-5"/>
          <w:sz w:val="27"/>
          <w:szCs w:val="27"/>
        </w:rPr>
        <w:t>Владимирской области</w:t>
      </w:r>
    </w:p>
    <w:p>
      <w:pPr>
        <w:pStyle w:val="BodyText"/>
        <w:bidi w:val="0"/>
        <w:spacing w:lineRule="auto" w:line="252" w:before="0" w:after="0"/>
        <w:ind w:firstLine="709"/>
        <w:jc w:val="left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cs="Times New Roman" w:ascii="Times New Roman" w:hAnsi="Times New Roman"/>
          <w:b/>
          <w:bCs/>
          <w:color w:val="000000"/>
          <w:sz w:val="27"/>
          <w:szCs w:val="27"/>
        </w:rPr>
      </w:r>
    </w:p>
    <w:p>
      <w:pPr>
        <w:pStyle w:val="ListParagraph"/>
        <w:widowControl/>
        <w:tabs>
          <w:tab w:val="clear" w:pos="709"/>
          <w:tab w:val="left" w:pos="1134" w:leader="none"/>
        </w:tabs>
        <w:ind w:firstLine="709" w:left="0" w:right="0"/>
        <w:jc w:val="both"/>
        <w:rPr>
          <w:rFonts w:ascii="Tinos" w:hAnsi="Tinos" w:cs="Times New Roman"/>
          <w:sz w:val="27"/>
          <w:szCs w:val="27"/>
        </w:rPr>
      </w:pPr>
      <w:r>
        <w:rPr>
          <w:rFonts w:cs="Times New Roman" w:ascii="Tinos" w:hAnsi="Tinos"/>
          <w:sz w:val="27"/>
          <w:szCs w:val="27"/>
        </w:rPr>
        <w:t xml:space="preserve">1. Муниципальный контроль </w:t>
      </w:r>
      <w:r>
        <w:rPr>
          <w:rFonts w:cs="Times New Roman" w:ascii="Tinos" w:hAnsi="Tinos"/>
          <w:spacing w:val="2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cs="Times New Roman" w:ascii="Tinos" w:hAnsi="Tinos"/>
          <w:sz w:val="27"/>
          <w:szCs w:val="27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>
      <w:pPr>
        <w:pStyle w:val="ListParagraph"/>
        <w:widowControl/>
        <w:tabs>
          <w:tab w:val="clear" w:pos="709"/>
          <w:tab w:val="left" w:pos="1134" w:leader="none"/>
        </w:tabs>
        <w:ind w:firstLine="709" w:left="0" w:right="0"/>
        <w:jc w:val="both"/>
        <w:rPr>
          <w:rFonts w:ascii="Tinos" w:hAnsi="Tinos" w:cs="Times New Roman"/>
          <w:sz w:val="27"/>
          <w:szCs w:val="27"/>
        </w:rPr>
      </w:pPr>
      <w:r>
        <w:rPr>
          <w:rFonts w:cs="Times New Roman" w:ascii="Tinos" w:hAnsi="Tinos"/>
          <w:sz w:val="27"/>
          <w:szCs w:val="27"/>
        </w:rPr>
        <w:t xml:space="preserve">2.2. В целях управления рисками причинения вреда (ущерба) при осуществлении муниципального контроля </w:t>
      </w:r>
      <w:r>
        <w:rPr>
          <w:rFonts w:cs="Times New Roman" w:ascii="Tinos" w:hAnsi="Tinos"/>
          <w:spacing w:val="2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cs="Times New Roman" w:ascii="Tinos" w:hAnsi="Tinos"/>
          <w:sz w:val="27"/>
          <w:szCs w:val="27"/>
        </w:rPr>
        <w:t xml:space="preserve"> объекты контроля могут быть отнесены к одной из следующих категорий риска причинения вреда (ущерба) (далее – категории риска):</w:t>
      </w:r>
    </w:p>
    <w:p>
      <w:pPr>
        <w:pStyle w:val="Normal"/>
        <w:widowControl/>
        <w:ind w:firstLine="709" w:right="0"/>
        <w:jc w:val="both"/>
        <w:rPr>
          <w:rFonts w:ascii="Tinos" w:hAnsi="Tinos" w:cs="Times New Roman"/>
          <w:sz w:val="27"/>
          <w:szCs w:val="27"/>
        </w:rPr>
      </w:pPr>
      <w:r>
        <w:rPr>
          <w:rFonts w:cs="Times New Roman" w:ascii="Tinos" w:hAnsi="Tinos"/>
          <w:sz w:val="27"/>
          <w:szCs w:val="27"/>
        </w:rPr>
        <w:t>значительный риск;</w:t>
      </w:r>
    </w:p>
    <w:p>
      <w:pPr>
        <w:pStyle w:val="Normal"/>
        <w:widowControl/>
        <w:ind w:firstLine="709" w:right="0"/>
        <w:jc w:val="both"/>
        <w:rPr>
          <w:rFonts w:ascii="Tinos" w:hAnsi="Tinos" w:cs="Times New Roman"/>
          <w:sz w:val="27"/>
          <w:szCs w:val="27"/>
        </w:rPr>
      </w:pPr>
      <w:r>
        <w:rPr>
          <w:rFonts w:cs="Times New Roman" w:ascii="Tinos" w:hAnsi="Tinos"/>
          <w:sz w:val="27"/>
          <w:szCs w:val="27"/>
        </w:rPr>
        <w:t>средний риск;</w:t>
      </w:r>
    </w:p>
    <w:p>
      <w:pPr>
        <w:pStyle w:val="Normal"/>
        <w:widowControl/>
        <w:ind w:firstLine="709" w:right="0"/>
        <w:jc w:val="both"/>
        <w:rPr>
          <w:rFonts w:ascii="Tinos" w:hAnsi="Tinos" w:cs="Times New Roman"/>
          <w:sz w:val="27"/>
          <w:szCs w:val="27"/>
        </w:rPr>
      </w:pPr>
      <w:r>
        <w:rPr>
          <w:rFonts w:cs="Times New Roman" w:ascii="Tinos" w:hAnsi="Tinos"/>
          <w:sz w:val="27"/>
          <w:szCs w:val="27"/>
        </w:rPr>
        <w:t>умеренный риск;</w:t>
      </w:r>
    </w:p>
    <w:p>
      <w:pPr>
        <w:pStyle w:val="Normal"/>
        <w:widowControl/>
        <w:ind w:firstLine="709" w:right="0"/>
        <w:jc w:val="both"/>
        <w:rPr>
          <w:rFonts w:ascii="Tinos" w:hAnsi="Tinos" w:cs="Times New Roman"/>
          <w:sz w:val="27"/>
          <w:szCs w:val="27"/>
        </w:rPr>
      </w:pPr>
      <w:r>
        <w:rPr>
          <w:rFonts w:cs="Times New Roman" w:ascii="Tinos" w:hAnsi="Tinos"/>
          <w:sz w:val="27"/>
          <w:szCs w:val="27"/>
        </w:rPr>
        <w:t>низкий риск.</w:t>
      </w:r>
    </w:p>
    <w:p>
      <w:pPr>
        <w:pStyle w:val="ListParagraph"/>
        <w:widowControl/>
        <w:tabs>
          <w:tab w:val="clear" w:pos="709"/>
          <w:tab w:val="left" w:pos="1134" w:leader="none"/>
        </w:tabs>
        <w:ind w:firstLine="709" w:left="0" w:right="0"/>
        <w:jc w:val="both"/>
        <w:rPr>
          <w:rFonts w:ascii="Tinos" w:hAnsi="Tinos"/>
          <w:sz w:val="27"/>
          <w:szCs w:val="27"/>
        </w:rPr>
      </w:pPr>
      <w:r>
        <w:rPr>
          <w:rFonts w:cs="Times New Roman" w:ascii="Tinos" w:hAnsi="Tinos"/>
          <w:sz w:val="27"/>
          <w:szCs w:val="27"/>
        </w:rPr>
        <w:t xml:space="preserve">2.3. Критерии отнесения объектов контроля к категориям риска в рамках осуществления муниципального контроля </w:t>
      </w:r>
      <w:r>
        <w:rPr>
          <w:rFonts w:cs="Times New Roman" w:ascii="Tinos" w:hAnsi="Tinos"/>
          <w:spacing w:val="2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cs="Times New Roman" w:ascii="Tinos" w:hAnsi="Tinos"/>
          <w:sz w:val="27"/>
          <w:szCs w:val="27"/>
        </w:rPr>
        <w:t xml:space="preserve"> установлены приложением </w:t>
      </w:r>
      <w:r>
        <w:rPr>
          <w:rFonts w:eastAsia="Times New Roman" w:cs="Times New Roman" w:ascii="Tinos" w:hAnsi="Tinos"/>
          <w:color w:val="auto"/>
          <w:sz w:val="27"/>
          <w:szCs w:val="27"/>
          <w:lang w:val="ru-RU" w:eastAsia="zh-CN" w:bidi="ar-SA"/>
        </w:rPr>
        <w:t>1</w:t>
      </w:r>
      <w:r>
        <w:rPr>
          <w:rFonts w:cs="Times New Roman" w:ascii="Tinos" w:hAnsi="Tinos"/>
          <w:sz w:val="27"/>
          <w:szCs w:val="27"/>
        </w:rPr>
        <w:t xml:space="preserve"> к  Положению о муниципальном контроле </w:t>
      </w:r>
      <w:r>
        <w:rPr>
          <w:rFonts w:cs="Times New Roman" w:ascii="Tinos" w:hAnsi="Tinos"/>
          <w:spacing w:val="2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cs="Times New Roman" w:ascii="Tinos" w:hAnsi="Tinos"/>
          <w:b w:val="false"/>
          <w:sz w:val="27"/>
          <w:szCs w:val="27"/>
        </w:rPr>
        <w:t>на территории ЗАТО г. Радужный Владимирской области</w:t>
      </w:r>
      <w:r>
        <w:rPr>
          <w:rFonts w:cs="Times New Roman" w:ascii="Tinos" w:hAnsi="Tinos"/>
          <w:sz w:val="27"/>
          <w:szCs w:val="27"/>
        </w:rPr>
        <w:t>.</w:t>
      </w:r>
    </w:p>
    <w:p>
      <w:pPr>
        <w:pStyle w:val="ListParagraph"/>
        <w:widowControl/>
        <w:tabs>
          <w:tab w:val="clear" w:pos="709"/>
          <w:tab w:val="left" w:pos="1134" w:leader="none"/>
        </w:tabs>
        <w:ind w:firstLine="709" w:left="0" w:right="0"/>
        <w:jc w:val="both"/>
        <w:rPr>
          <w:rFonts w:ascii="Tinos" w:hAnsi="Tinos" w:cs="Times New Roman"/>
          <w:sz w:val="27"/>
          <w:szCs w:val="27"/>
        </w:rPr>
      </w:pPr>
      <w:r>
        <w:rPr>
          <w:rFonts w:cs="Times New Roman" w:ascii="Tinos" w:hAnsi="Tinos"/>
          <w:sz w:val="27"/>
          <w:szCs w:val="27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>
      <w:pPr>
        <w:pStyle w:val="ListParagraph"/>
        <w:widowControl/>
        <w:tabs>
          <w:tab w:val="clear" w:pos="709"/>
          <w:tab w:val="left" w:pos="1134" w:leader="none"/>
        </w:tabs>
        <w:ind w:firstLine="709" w:left="0" w:right="0"/>
        <w:jc w:val="both"/>
        <w:rPr>
          <w:rFonts w:ascii="Tinos" w:hAnsi="Tinos"/>
          <w:sz w:val="27"/>
          <w:szCs w:val="27"/>
        </w:rPr>
      </w:pPr>
      <w:r>
        <w:rPr>
          <w:rFonts w:cs="Times New Roman" w:ascii="Tinos" w:hAnsi="Tinos"/>
          <w:sz w:val="27"/>
          <w:szCs w:val="27"/>
        </w:rPr>
        <w:t>2.5. Перечень индикаторов риска нарушения обязательных требований, проверяемых в рамках осуществления муниципального контроля установлен  Положени</w:t>
      </w:r>
      <w:r>
        <w:rPr>
          <w:rFonts w:cs="Times New Roman" w:ascii="Tinos" w:hAnsi="Tinos"/>
          <w:sz w:val="27"/>
          <w:szCs w:val="27"/>
        </w:rPr>
        <w:t xml:space="preserve">ем о муниципальном контроле </w:t>
      </w:r>
      <w:r>
        <w:rPr>
          <w:rFonts w:cs="Times New Roman" w:ascii="Tinos" w:hAnsi="Tinos"/>
          <w:spacing w:val="2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cs="Times New Roman" w:ascii="Tinos" w:hAnsi="Tinos"/>
          <w:b w:val="false"/>
          <w:sz w:val="27"/>
          <w:szCs w:val="27"/>
        </w:rPr>
        <w:t>на территории ЗАТО г. Радужный Владимирской области</w:t>
      </w:r>
      <w:r>
        <w:rPr>
          <w:rFonts w:cs="Times New Roman" w:ascii="Tinos" w:hAnsi="Tinos"/>
          <w:sz w:val="27"/>
          <w:szCs w:val="27"/>
        </w:rPr>
        <w:t xml:space="preserve">. </w:t>
      </w:r>
    </w:p>
    <w:p>
      <w:pPr>
        <w:pStyle w:val="ListParagraph"/>
        <w:widowControl/>
        <w:tabs>
          <w:tab w:val="clear" w:pos="709"/>
          <w:tab w:val="left" w:pos="1134" w:leader="none"/>
        </w:tabs>
        <w:ind w:firstLine="709" w:left="0" w:right="0"/>
        <w:jc w:val="both"/>
        <w:rPr>
          <w:rFonts w:ascii="Tinos" w:hAnsi="Tinos" w:cs="Times New Roman"/>
          <w:sz w:val="27"/>
          <w:szCs w:val="27"/>
        </w:rPr>
      </w:pPr>
      <w:r>
        <w:rPr>
          <w:rFonts w:cs="Times New Roman" w:ascii="Tinos" w:hAnsi="Tinos"/>
          <w:sz w:val="27"/>
          <w:szCs w:val="27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>
      <w:pPr>
        <w:pStyle w:val="ListParagraph"/>
        <w:widowControl/>
        <w:tabs>
          <w:tab w:val="clear" w:pos="709"/>
          <w:tab w:val="left" w:pos="1134" w:leader="none"/>
        </w:tabs>
        <w:ind w:firstLine="709" w:left="0" w:right="0"/>
        <w:jc w:val="both"/>
        <w:rPr/>
      </w:pPr>
      <w:r>
        <w:rPr>
          <w:rFonts w:cs="Times New Roman" w:ascii="Tinos" w:hAnsi="Tinos"/>
          <w:color w:val="000000"/>
          <w:sz w:val="27"/>
          <w:szCs w:val="27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>
      <w:pPr>
        <w:pStyle w:val="Normal"/>
        <w:widowControl/>
        <w:ind w:left="4536" w:right="0"/>
        <w:jc w:val="right"/>
        <w:rPr>
          <w:rFonts w:ascii="Tinos" w:hAnsi="Tinos"/>
        </w:rPr>
      </w:pPr>
      <w:r>
        <w:rPr>
          <w:rFonts w:cs="Times New Roman" w:ascii="Tinos" w:hAnsi="Tinos"/>
          <w:sz w:val="24"/>
          <w:szCs w:val="24"/>
        </w:rPr>
        <w:t xml:space="preserve">Приложение </w:t>
      </w:r>
      <w:r>
        <w:rPr>
          <w:rFonts w:eastAsia="Times New Roman" w:cs="Times New Roman" w:ascii="Tinos" w:hAnsi="Tinos"/>
          <w:color w:val="auto"/>
          <w:sz w:val="24"/>
          <w:szCs w:val="24"/>
          <w:lang w:val="ru-RU" w:eastAsia="zh-CN" w:bidi="ar-SA"/>
        </w:rPr>
        <w:t>1</w:t>
      </w:r>
    </w:p>
    <w:p>
      <w:pPr>
        <w:pStyle w:val="Normal"/>
        <w:widowControl/>
        <w:ind w:left="4536" w:right="0"/>
        <w:jc w:val="righ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на территории ЗАТО г. Радужный Владимирской области</w:t>
      </w:r>
    </w:p>
    <w:p>
      <w:pPr>
        <w:pStyle w:val="ConsPlusNormal"/>
        <w:spacing w:lineRule="exact" w:line="240"/>
        <w:jc w:val="center"/>
        <w:rPr>
          <w:rFonts w:ascii="Tinos" w:hAnsi="Tinos" w:cs="Arial"/>
          <w:sz w:val="24"/>
          <w:szCs w:val="24"/>
          <w:highlight w:val="yellow"/>
        </w:rPr>
      </w:pPr>
      <w:r>
        <w:rPr>
          <w:rFonts w:cs="Arial" w:ascii="Tinos" w:hAnsi="Tinos"/>
          <w:sz w:val="24"/>
          <w:szCs w:val="24"/>
          <w:highlight w:val="yellow"/>
        </w:rPr>
      </w:r>
    </w:p>
    <w:p>
      <w:pPr>
        <w:pStyle w:val="ConsPlusNormal"/>
        <w:ind w:hanging="0" w:right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 xml:space="preserve">Критерии отнесения объектов контроля </w:t>
      </w:r>
      <w:r>
        <w:rPr>
          <w:rFonts w:ascii="Tinos" w:hAnsi="Tinos"/>
          <w:b/>
          <w:bCs/>
          <w:color w:val="000000"/>
          <w:sz w:val="24"/>
          <w:szCs w:val="24"/>
        </w:rPr>
        <w:t xml:space="preserve">к категориям риска в рамках осуществления муниципального контроля </w:t>
      </w:r>
      <w:r>
        <w:rPr>
          <w:rFonts w:ascii="Tinos" w:hAnsi="Tinos"/>
          <w:b/>
          <w:bCs/>
          <w:sz w:val="24"/>
          <w:szCs w:val="24"/>
        </w:rPr>
        <w:t xml:space="preserve">на автомобильном транспорте, городском наземном электрическом транспорте и  в дорожном хозяйстве </w:t>
      </w:r>
      <w:r>
        <w:rPr>
          <w:rFonts w:cs="Times New Roman" w:ascii="Tinos" w:hAnsi="Tinos"/>
          <w:b/>
          <w:bCs/>
          <w:sz w:val="24"/>
          <w:szCs w:val="24"/>
        </w:rPr>
        <w:t>на территории ЗАТО г. Радужный Владимирской области</w:t>
      </w:r>
    </w:p>
    <w:p>
      <w:pPr>
        <w:pStyle w:val="ConsPlusNormal"/>
        <w:ind w:hanging="0" w:right="0"/>
        <w:jc w:val="center"/>
        <w:rPr>
          <w:rFonts w:ascii="Tinos" w:hAnsi="Tinos" w:cs="Arial"/>
          <w:color w:val="000000"/>
          <w:sz w:val="24"/>
          <w:szCs w:val="24"/>
          <w:highlight w:val="yellow"/>
        </w:rPr>
      </w:pPr>
      <w:r>
        <w:rPr>
          <w:rFonts w:cs="Arial" w:ascii="Tinos" w:hAnsi="Tinos"/>
          <w:color w:val="000000"/>
          <w:sz w:val="24"/>
          <w:szCs w:val="24"/>
          <w:highlight w:val="yellow"/>
        </w:rPr>
      </w:r>
    </w:p>
    <w:tbl>
      <w:tblPr>
        <w:tblW w:w="9595" w:type="dxa"/>
        <w:jc w:val="left"/>
        <w:tblInd w:w="76" w:type="dxa"/>
        <w:tblLayout w:type="fixed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644"/>
        <w:gridCol w:w="7318"/>
        <w:gridCol w:w="1633"/>
      </w:tblGrid>
      <w:tr>
        <w:trPr/>
        <w:tc>
          <w:tcPr>
            <w:tcW w:w="64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 </w:t>
            </w:r>
            <w:r>
              <w:rPr>
                <w:rFonts w:cs="Times New Roman" w:ascii="Tinos" w:hAnsi="Tinos"/>
                <w:sz w:val="24"/>
                <w:szCs w:val="24"/>
              </w:rPr>
              <w:t>п/п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Объекты муниципального контроля </w:t>
            </w:r>
            <w:r>
              <w:rPr>
                <w:rFonts w:cs="Times New Roman" w:ascii="Tinos" w:hAnsi="Tinos"/>
                <w:b w:val="false"/>
                <w:bCs w:val="false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 в дорожном хозяйстве  </w:t>
            </w:r>
            <w:r>
              <w:rPr>
                <w:rFonts w:eastAsia="Times New Roman" w:cs="Times New Roman" w:ascii="Tinos" w:hAnsi="Tinos"/>
                <w:b w:val="false"/>
                <w:bCs w:val="false"/>
                <w:color w:val="auto"/>
                <w:sz w:val="24"/>
                <w:szCs w:val="24"/>
                <w:lang w:val="ru-RU" w:eastAsia="zh-CN" w:bidi="ar-SA"/>
              </w:rPr>
              <w:t xml:space="preserve">на территории  ЗАТО </w:t>
            </w:r>
            <w:r>
              <w:rPr>
                <w:rFonts w:eastAsia="Times New Roman" w:cs="Times New Roman" w:ascii="Tinos" w:hAnsi="Tinos"/>
                <w:color w:val="auto"/>
                <w:sz w:val="24"/>
                <w:szCs w:val="24"/>
                <w:lang w:val="ru-RU" w:eastAsia="zh-CN" w:bidi="ar-SA"/>
              </w:rPr>
              <w:t>г. Радужный Владимирской области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Категория риска</w:t>
            </w:r>
          </w:p>
        </w:tc>
      </w:tr>
      <w:tr>
        <w:trPr/>
        <w:tc>
          <w:tcPr>
            <w:tcW w:w="64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1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ind w:right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</w:t>
            </w:r>
            <w:r>
              <w:rPr>
                <w:rFonts w:cs="Times New Roman" w:ascii="Tinos" w:hAnsi="Tinos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Значительный риск</w:t>
            </w:r>
          </w:p>
        </w:tc>
      </w:tr>
      <w:tr>
        <w:trPr/>
        <w:tc>
          <w:tcPr>
            <w:tcW w:w="64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2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rFonts w:cs="Times New Roman" w:ascii="Tinos" w:hAnsi="Tinos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Средний риск</w:t>
            </w:r>
          </w:p>
        </w:tc>
      </w:tr>
      <w:tr>
        <w:trPr/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3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rFonts w:cs="Times New Roman" w:ascii="Tinos" w:hAnsi="Tinos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Умеренный риск</w:t>
            </w:r>
          </w:p>
        </w:tc>
      </w:tr>
      <w:tr>
        <w:trPr/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4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firstLine="345" w:right="0"/>
              <w:jc w:val="both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Низкий риск</w:t>
            </w:r>
          </w:p>
        </w:tc>
      </w:tr>
    </w:tbl>
    <w:p>
      <w:pPr>
        <w:pStyle w:val="Normal"/>
        <w:widowControl/>
        <w:ind w:left="4536" w:right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Calibri" w:asciiTheme="minorHAnsi" w:eastAsia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hanging="0" w:left="720" w:right="0"/>
    </w:pPr>
    <w:rPr>
      <w:color w:va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LibreOffice/7.6.6.3$Linux_X86_64 LibreOffice_project/60$Build-3</Application>
  <AppVersion>15.0000</AppVersion>
  <Pages>2</Pages>
  <Words>657</Words>
  <Characters>4853</Characters>
  <CharactersWithSpaces>5492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2024-11-07T10:46:21Z</dcterms:created>
  <dc:creator/>
  <dc:description/>
  <dc:language>ru-RU</dc:language>
  <cp:lastModifiedBy/>
  <dcterms:modified xsi:type="dcterms:W3CDTF">2024-11-07T16:04:32Z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